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431362" w14:textId="77777777" w:rsidR="007E163E" w:rsidRPr="00D57920" w:rsidRDefault="009F23CB" w:rsidP="00D55D22">
      <w:pPr>
        <w:jc w:val="center"/>
        <w:rPr>
          <w:rFonts w:ascii="Times New Roman" w:hAnsi="Times New Roman" w:cs="Times New Roman"/>
          <w:b/>
          <w:sz w:val="28"/>
          <w:szCs w:val="28"/>
          <w:u w:val="single"/>
        </w:rPr>
      </w:pPr>
      <w:r w:rsidRPr="00D57920">
        <w:rPr>
          <w:rFonts w:ascii="Times New Roman" w:hAnsi="Times New Roman" w:cs="Times New Roman"/>
          <w:b/>
          <w:sz w:val="28"/>
          <w:szCs w:val="28"/>
          <w:u w:val="single"/>
        </w:rPr>
        <w:t>DECANTING IN MASSACHUSETTS – YES YOU CAN</w:t>
      </w:r>
    </w:p>
    <w:p w14:paraId="3D4B50AC" w14:textId="29388CAF" w:rsidR="009F23CB" w:rsidRPr="00D57920" w:rsidRDefault="00D57920" w:rsidP="00D57920">
      <w:pPr>
        <w:jc w:val="center"/>
        <w:rPr>
          <w:rFonts w:ascii="Times New Roman" w:hAnsi="Times New Roman" w:cs="Times New Roman"/>
          <w:sz w:val="28"/>
          <w:szCs w:val="28"/>
        </w:rPr>
      </w:pPr>
      <w:r w:rsidRPr="00D57920">
        <w:rPr>
          <w:rFonts w:ascii="Times New Roman" w:hAnsi="Times New Roman" w:cs="Times New Roman"/>
          <w:sz w:val="28"/>
          <w:szCs w:val="28"/>
        </w:rPr>
        <w:t>Amiel Z. Weinstock, Esq.</w:t>
      </w:r>
    </w:p>
    <w:p w14:paraId="7979DEA0" w14:textId="76272CE0" w:rsidR="00D57920" w:rsidRPr="00D57920" w:rsidRDefault="00D57920" w:rsidP="00D57920">
      <w:pPr>
        <w:jc w:val="center"/>
        <w:rPr>
          <w:rFonts w:ascii="Times New Roman" w:hAnsi="Times New Roman" w:cs="Times New Roman"/>
          <w:sz w:val="28"/>
          <w:szCs w:val="28"/>
        </w:rPr>
      </w:pPr>
      <w:r w:rsidRPr="00D57920">
        <w:rPr>
          <w:rFonts w:ascii="Times New Roman" w:hAnsi="Times New Roman" w:cs="Times New Roman"/>
          <w:sz w:val="28"/>
          <w:szCs w:val="28"/>
        </w:rPr>
        <w:t>AZW Law, LLC</w:t>
      </w:r>
    </w:p>
    <w:p w14:paraId="57F18D47" w14:textId="127A40F8" w:rsidR="00D57920" w:rsidRPr="00D57920" w:rsidRDefault="00F77F76" w:rsidP="00D57920">
      <w:pPr>
        <w:jc w:val="center"/>
        <w:rPr>
          <w:rFonts w:ascii="Times New Roman" w:hAnsi="Times New Roman" w:cs="Times New Roman"/>
          <w:sz w:val="28"/>
          <w:szCs w:val="28"/>
        </w:rPr>
      </w:pPr>
      <w:r>
        <w:rPr>
          <w:rFonts w:ascii="Times New Roman" w:hAnsi="Times New Roman" w:cs="Times New Roman"/>
          <w:sz w:val="28"/>
          <w:szCs w:val="28"/>
        </w:rPr>
        <w:t xml:space="preserve">October </w:t>
      </w:r>
      <w:r w:rsidR="00912847">
        <w:rPr>
          <w:rFonts w:ascii="Times New Roman" w:hAnsi="Times New Roman" w:cs="Times New Roman"/>
          <w:sz w:val="28"/>
          <w:szCs w:val="28"/>
        </w:rPr>
        <w:t>14</w:t>
      </w:r>
      <w:r w:rsidR="00D57920" w:rsidRPr="00D57920">
        <w:rPr>
          <w:rFonts w:ascii="Times New Roman" w:hAnsi="Times New Roman" w:cs="Times New Roman"/>
          <w:sz w:val="28"/>
          <w:szCs w:val="28"/>
        </w:rPr>
        <w:t>, 202</w:t>
      </w:r>
      <w:r w:rsidR="00912847">
        <w:rPr>
          <w:rFonts w:ascii="Times New Roman" w:hAnsi="Times New Roman" w:cs="Times New Roman"/>
          <w:sz w:val="28"/>
          <w:szCs w:val="28"/>
        </w:rPr>
        <w:t>1</w:t>
      </w:r>
    </w:p>
    <w:p w14:paraId="0D62A78F" w14:textId="35945E87" w:rsidR="009F23CB" w:rsidRDefault="009F23CB" w:rsidP="00D57920">
      <w:pPr>
        <w:pStyle w:val="ListParagraph"/>
        <w:numPr>
          <w:ilvl w:val="0"/>
          <w:numId w:val="1"/>
        </w:numPr>
        <w:spacing w:after="480"/>
        <w:rPr>
          <w:rFonts w:ascii="Times New Roman" w:hAnsi="Times New Roman" w:cs="Times New Roman"/>
          <w:sz w:val="28"/>
          <w:szCs w:val="28"/>
        </w:rPr>
      </w:pPr>
      <w:r w:rsidRPr="00D57920">
        <w:rPr>
          <w:rFonts w:ascii="Times New Roman" w:hAnsi="Times New Roman" w:cs="Times New Roman"/>
          <w:sz w:val="28"/>
          <w:szCs w:val="28"/>
        </w:rPr>
        <w:t>Several states have decanting statutes – Massachusetts does NOT</w:t>
      </w:r>
      <w:r w:rsidR="00703575" w:rsidRPr="00D57920">
        <w:rPr>
          <w:rFonts w:ascii="Times New Roman" w:hAnsi="Times New Roman" w:cs="Times New Roman"/>
          <w:sz w:val="28"/>
          <w:szCs w:val="28"/>
        </w:rPr>
        <w:t xml:space="preserve"> (at least not yet)</w:t>
      </w:r>
      <w:r w:rsidR="003D1E0C" w:rsidRPr="00D57920">
        <w:rPr>
          <w:rFonts w:ascii="Times New Roman" w:hAnsi="Times New Roman" w:cs="Times New Roman"/>
          <w:sz w:val="28"/>
          <w:szCs w:val="28"/>
        </w:rPr>
        <w:t xml:space="preserve">; although a bill was filed </w:t>
      </w:r>
      <w:r w:rsidR="00521E34" w:rsidRPr="00D57920">
        <w:rPr>
          <w:rFonts w:ascii="Times New Roman" w:hAnsi="Times New Roman" w:cs="Times New Roman"/>
          <w:sz w:val="28"/>
          <w:szCs w:val="28"/>
        </w:rPr>
        <w:t xml:space="preserve">on January 18, </w:t>
      </w:r>
      <w:proofErr w:type="gramStart"/>
      <w:r w:rsidR="00521E34" w:rsidRPr="00D57920">
        <w:rPr>
          <w:rFonts w:ascii="Times New Roman" w:hAnsi="Times New Roman" w:cs="Times New Roman"/>
          <w:sz w:val="28"/>
          <w:szCs w:val="28"/>
        </w:rPr>
        <w:t>2019</w:t>
      </w:r>
      <w:proofErr w:type="gramEnd"/>
      <w:r w:rsidR="00521E34" w:rsidRPr="00D57920">
        <w:rPr>
          <w:rFonts w:ascii="Times New Roman" w:hAnsi="Times New Roman" w:cs="Times New Roman"/>
          <w:sz w:val="28"/>
          <w:szCs w:val="28"/>
        </w:rPr>
        <w:t xml:space="preserve"> sponsored by Cynthia Stone Creem</w:t>
      </w:r>
    </w:p>
    <w:p w14:paraId="17FB3DE2" w14:textId="77777777" w:rsidR="00D57920" w:rsidRPr="00D57920" w:rsidRDefault="00D57920" w:rsidP="00D57920">
      <w:pPr>
        <w:pStyle w:val="ListParagraph"/>
        <w:spacing w:after="480"/>
        <w:rPr>
          <w:rFonts w:ascii="Times New Roman" w:hAnsi="Times New Roman" w:cs="Times New Roman"/>
          <w:sz w:val="28"/>
          <w:szCs w:val="28"/>
        </w:rPr>
      </w:pPr>
    </w:p>
    <w:p w14:paraId="382D2DF2" w14:textId="090B7291" w:rsidR="00D57920" w:rsidRPr="00D57920" w:rsidRDefault="009F23CB" w:rsidP="00D57920">
      <w:pPr>
        <w:pStyle w:val="ListParagraph"/>
        <w:numPr>
          <w:ilvl w:val="0"/>
          <w:numId w:val="1"/>
        </w:numPr>
        <w:spacing w:after="480"/>
        <w:contextualSpacing w:val="0"/>
        <w:rPr>
          <w:rFonts w:ascii="Times New Roman" w:hAnsi="Times New Roman" w:cs="Times New Roman"/>
          <w:sz w:val="28"/>
          <w:szCs w:val="28"/>
        </w:rPr>
      </w:pPr>
      <w:r w:rsidRPr="00D57920">
        <w:rPr>
          <w:rFonts w:ascii="Times New Roman" w:hAnsi="Times New Roman" w:cs="Times New Roman"/>
          <w:sz w:val="28"/>
          <w:szCs w:val="28"/>
        </w:rPr>
        <w:t xml:space="preserve">Decanting in Massachusetts is permitted under common law, based largely on the case of </w:t>
      </w:r>
      <w:r w:rsidRPr="00D57920">
        <w:rPr>
          <w:rFonts w:ascii="Times New Roman" w:hAnsi="Times New Roman" w:cs="Times New Roman"/>
          <w:sz w:val="28"/>
          <w:szCs w:val="28"/>
          <w:u w:val="single"/>
        </w:rPr>
        <w:t>Morse v. Kraft</w:t>
      </w:r>
      <w:r w:rsidRPr="00D57920">
        <w:rPr>
          <w:rFonts w:ascii="Times New Roman" w:hAnsi="Times New Roman" w:cs="Times New Roman"/>
          <w:sz w:val="28"/>
          <w:szCs w:val="28"/>
        </w:rPr>
        <w:t>, an SJC case decided in July of 2013</w:t>
      </w:r>
    </w:p>
    <w:p w14:paraId="7B3CDFD5" w14:textId="77777777" w:rsidR="00703575" w:rsidRPr="00D57920" w:rsidRDefault="00703575" w:rsidP="00703575">
      <w:pPr>
        <w:pStyle w:val="ListParagraph"/>
        <w:numPr>
          <w:ilvl w:val="0"/>
          <w:numId w:val="1"/>
        </w:numPr>
        <w:rPr>
          <w:rFonts w:ascii="Times New Roman" w:hAnsi="Times New Roman" w:cs="Times New Roman"/>
          <w:sz w:val="28"/>
          <w:szCs w:val="28"/>
        </w:rPr>
      </w:pPr>
      <w:r w:rsidRPr="00D57920">
        <w:rPr>
          <w:rFonts w:ascii="Times New Roman" w:hAnsi="Times New Roman" w:cs="Times New Roman"/>
          <w:sz w:val="28"/>
          <w:szCs w:val="28"/>
        </w:rPr>
        <w:t>What is decanting?</w:t>
      </w:r>
    </w:p>
    <w:p w14:paraId="6963DD7F" w14:textId="77777777" w:rsidR="009F23CB" w:rsidRPr="00D57920" w:rsidRDefault="00703575" w:rsidP="00D57920">
      <w:pPr>
        <w:pStyle w:val="ListParagraph"/>
        <w:numPr>
          <w:ilvl w:val="1"/>
          <w:numId w:val="1"/>
        </w:numPr>
        <w:spacing w:after="480"/>
        <w:contextualSpacing w:val="0"/>
        <w:rPr>
          <w:rFonts w:ascii="Times New Roman" w:hAnsi="Times New Roman" w:cs="Times New Roman"/>
          <w:sz w:val="28"/>
          <w:szCs w:val="28"/>
        </w:rPr>
      </w:pPr>
      <w:r w:rsidRPr="00D57920">
        <w:rPr>
          <w:rFonts w:ascii="Times New Roman" w:hAnsi="Times New Roman" w:cs="Times New Roman"/>
          <w:sz w:val="28"/>
          <w:szCs w:val="28"/>
        </w:rPr>
        <w:t>D</w:t>
      </w:r>
      <w:r w:rsidR="009F23CB" w:rsidRPr="00D57920">
        <w:rPr>
          <w:rFonts w:ascii="Times New Roman" w:hAnsi="Times New Roman" w:cs="Times New Roman"/>
          <w:sz w:val="28"/>
          <w:szCs w:val="28"/>
        </w:rPr>
        <w:t>ecanting is the act of “pouring” assets from one trust to another</w:t>
      </w:r>
      <w:r w:rsidRPr="00D57920">
        <w:rPr>
          <w:rFonts w:ascii="Times New Roman" w:hAnsi="Times New Roman" w:cs="Times New Roman"/>
          <w:sz w:val="28"/>
          <w:szCs w:val="28"/>
        </w:rPr>
        <w:t>, typically with provisions that are similar, but slightly different than the original trust</w:t>
      </w:r>
    </w:p>
    <w:p w14:paraId="3735395D" w14:textId="77777777" w:rsidR="00703575" w:rsidRPr="00D57920" w:rsidRDefault="00703575" w:rsidP="00703575">
      <w:pPr>
        <w:pStyle w:val="ListParagraph"/>
        <w:numPr>
          <w:ilvl w:val="0"/>
          <w:numId w:val="1"/>
        </w:numPr>
        <w:rPr>
          <w:rFonts w:ascii="Times New Roman" w:hAnsi="Times New Roman" w:cs="Times New Roman"/>
          <w:sz w:val="28"/>
          <w:szCs w:val="28"/>
        </w:rPr>
      </w:pPr>
      <w:r w:rsidRPr="00D57920">
        <w:rPr>
          <w:rFonts w:ascii="Times New Roman" w:hAnsi="Times New Roman" w:cs="Times New Roman"/>
          <w:sz w:val="28"/>
          <w:szCs w:val="28"/>
        </w:rPr>
        <w:t>Why would you decant a trust?</w:t>
      </w:r>
    </w:p>
    <w:p w14:paraId="0FE671AA" w14:textId="77777777" w:rsidR="00521E34" w:rsidRPr="00D57920" w:rsidRDefault="00703575" w:rsidP="00521E34">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Increase flexibility in the terms of the trust</w:t>
      </w:r>
    </w:p>
    <w:p w14:paraId="16A3482C" w14:textId="77777777" w:rsidR="00521E34" w:rsidRPr="00D57920" w:rsidRDefault="00521E34" w:rsidP="00521E34">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Modify the trustee succession provisions</w:t>
      </w:r>
    </w:p>
    <w:p w14:paraId="1114896B" w14:textId="77777777" w:rsidR="00521E34" w:rsidRPr="00D57920" w:rsidRDefault="00521E34" w:rsidP="00521E34">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Change a grantor trust into a non-grantor trust, or vice versa</w:t>
      </w:r>
    </w:p>
    <w:p w14:paraId="5BE881A5" w14:textId="77777777" w:rsidR="00521E34" w:rsidRPr="00D57920" w:rsidRDefault="00521E34" w:rsidP="00521E34">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Modify mandatory distributions to beneficiaries (perhaps to protect the beneficiary from himself/herself or to provide greater creditor protection)</w:t>
      </w:r>
    </w:p>
    <w:p w14:paraId="01C2847E" w14:textId="77777777" w:rsidR="00521E34" w:rsidRPr="00D57920" w:rsidRDefault="00521E34" w:rsidP="00521E34">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Change the power of appointment provisions – i.e., expand from special to general or contract from general to special</w:t>
      </w:r>
    </w:p>
    <w:p w14:paraId="1E617851" w14:textId="77777777" w:rsidR="00521E34" w:rsidRPr="00D57920" w:rsidRDefault="00521E34" w:rsidP="00521E34">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Eliminate beneficiaries?</w:t>
      </w:r>
    </w:p>
    <w:p w14:paraId="1C518B28" w14:textId="77777777" w:rsidR="00521E34" w:rsidRPr="00D57920" w:rsidRDefault="00521E34" w:rsidP="00521E34">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Divide a common pot trust into separate share trusts</w:t>
      </w:r>
    </w:p>
    <w:p w14:paraId="7F542BD5" w14:textId="77777777" w:rsidR="00703575" w:rsidRPr="00D57920" w:rsidRDefault="00703575"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Correct errors</w:t>
      </w:r>
      <w:r w:rsidR="00521E34" w:rsidRPr="00D57920">
        <w:rPr>
          <w:rFonts w:ascii="Times New Roman" w:hAnsi="Times New Roman" w:cs="Times New Roman"/>
          <w:sz w:val="28"/>
          <w:szCs w:val="28"/>
        </w:rPr>
        <w:t xml:space="preserve"> made in the original trust</w:t>
      </w:r>
    </w:p>
    <w:p w14:paraId="5B229452" w14:textId="77777777" w:rsidR="00703575" w:rsidRPr="00D57920" w:rsidRDefault="00703575" w:rsidP="00D57920">
      <w:pPr>
        <w:pStyle w:val="ListParagraph"/>
        <w:numPr>
          <w:ilvl w:val="1"/>
          <w:numId w:val="1"/>
        </w:numPr>
        <w:spacing w:after="480"/>
        <w:contextualSpacing w:val="0"/>
        <w:rPr>
          <w:rFonts w:ascii="Times New Roman" w:hAnsi="Times New Roman" w:cs="Times New Roman"/>
          <w:sz w:val="28"/>
          <w:szCs w:val="28"/>
        </w:rPr>
      </w:pPr>
      <w:r w:rsidRPr="00D57920">
        <w:rPr>
          <w:rFonts w:ascii="Times New Roman" w:hAnsi="Times New Roman" w:cs="Times New Roman"/>
          <w:sz w:val="28"/>
          <w:szCs w:val="28"/>
        </w:rPr>
        <w:t>Adjust trust terms to account for new facts affecting trust beneficiaries</w:t>
      </w:r>
    </w:p>
    <w:p w14:paraId="6098A347" w14:textId="77777777" w:rsidR="00D57920" w:rsidRDefault="00D57920">
      <w:pPr>
        <w:rPr>
          <w:rFonts w:ascii="Times New Roman" w:hAnsi="Times New Roman" w:cs="Times New Roman"/>
          <w:sz w:val="28"/>
          <w:szCs w:val="28"/>
          <w:u w:val="single"/>
        </w:rPr>
      </w:pPr>
      <w:r>
        <w:rPr>
          <w:rFonts w:ascii="Times New Roman" w:hAnsi="Times New Roman" w:cs="Times New Roman"/>
          <w:sz w:val="28"/>
          <w:szCs w:val="28"/>
          <w:u w:val="single"/>
        </w:rPr>
        <w:br w:type="page"/>
      </w:r>
    </w:p>
    <w:p w14:paraId="58A0F710" w14:textId="0A2FA34E" w:rsidR="00703575" w:rsidRPr="00D57920" w:rsidRDefault="00703575" w:rsidP="00703575">
      <w:pPr>
        <w:pStyle w:val="ListParagraph"/>
        <w:numPr>
          <w:ilvl w:val="0"/>
          <w:numId w:val="1"/>
        </w:numPr>
        <w:rPr>
          <w:rFonts w:ascii="Times New Roman" w:hAnsi="Times New Roman" w:cs="Times New Roman"/>
          <w:sz w:val="28"/>
          <w:szCs w:val="28"/>
          <w:u w:val="single"/>
        </w:rPr>
      </w:pPr>
      <w:r w:rsidRPr="00D57920">
        <w:rPr>
          <w:rFonts w:ascii="Times New Roman" w:hAnsi="Times New Roman" w:cs="Times New Roman"/>
          <w:sz w:val="28"/>
          <w:szCs w:val="28"/>
          <w:u w:val="single"/>
        </w:rPr>
        <w:lastRenderedPageBreak/>
        <w:t>Morse v. Kraft</w:t>
      </w:r>
      <w:r w:rsidR="00521E34" w:rsidRPr="00D57920">
        <w:rPr>
          <w:rFonts w:ascii="Times New Roman" w:hAnsi="Times New Roman" w:cs="Times New Roman"/>
          <w:sz w:val="28"/>
          <w:szCs w:val="28"/>
          <w:u w:val="single"/>
        </w:rPr>
        <w:t xml:space="preserve"> – The Facts</w:t>
      </w:r>
    </w:p>
    <w:p w14:paraId="32330285" w14:textId="77777777" w:rsidR="00C90E87" w:rsidRPr="00D57920" w:rsidRDefault="00521E34"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Four </w:t>
      </w:r>
      <w:r w:rsidR="00C90E87" w:rsidRPr="00D57920">
        <w:rPr>
          <w:rFonts w:ascii="Times New Roman" w:hAnsi="Times New Roman" w:cs="Times New Roman"/>
          <w:sz w:val="28"/>
          <w:szCs w:val="28"/>
        </w:rPr>
        <w:t>separate irrevocable trusts were created</w:t>
      </w:r>
      <w:r w:rsidRPr="00D57920">
        <w:rPr>
          <w:rFonts w:ascii="Times New Roman" w:hAnsi="Times New Roman" w:cs="Times New Roman"/>
          <w:sz w:val="28"/>
          <w:szCs w:val="28"/>
        </w:rPr>
        <w:t xml:space="preserve"> – one</w:t>
      </w:r>
      <w:r w:rsidR="00C90E87" w:rsidRPr="00D57920">
        <w:rPr>
          <w:rFonts w:ascii="Times New Roman" w:hAnsi="Times New Roman" w:cs="Times New Roman"/>
          <w:sz w:val="28"/>
          <w:szCs w:val="28"/>
        </w:rPr>
        <w:t xml:space="preserve"> for each of the grantor’s four sons</w:t>
      </w:r>
    </w:p>
    <w:p w14:paraId="69F47CC2" w14:textId="77777777" w:rsidR="00C90E87" w:rsidRPr="00D57920" w:rsidRDefault="00521E34"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The </w:t>
      </w:r>
      <w:r w:rsidR="00C90E87" w:rsidRPr="00D57920">
        <w:rPr>
          <w:rFonts w:ascii="Times New Roman" w:hAnsi="Times New Roman" w:cs="Times New Roman"/>
          <w:sz w:val="28"/>
          <w:szCs w:val="28"/>
        </w:rPr>
        <w:t xml:space="preserve">disinterested trustee </w:t>
      </w:r>
      <w:r w:rsidRPr="00D57920">
        <w:rPr>
          <w:rFonts w:ascii="Times New Roman" w:hAnsi="Times New Roman" w:cs="Times New Roman"/>
          <w:sz w:val="28"/>
          <w:szCs w:val="28"/>
        </w:rPr>
        <w:t xml:space="preserve">had the authority to make distributions of income </w:t>
      </w:r>
      <w:r w:rsidR="009178F3" w:rsidRPr="00D57920">
        <w:rPr>
          <w:rFonts w:ascii="Times New Roman" w:hAnsi="Times New Roman" w:cs="Times New Roman"/>
          <w:sz w:val="28"/>
          <w:szCs w:val="28"/>
        </w:rPr>
        <w:t xml:space="preserve">or principal </w:t>
      </w:r>
      <w:r w:rsidR="00C90E87" w:rsidRPr="00D57920">
        <w:rPr>
          <w:rFonts w:ascii="Times New Roman" w:hAnsi="Times New Roman" w:cs="Times New Roman"/>
          <w:sz w:val="28"/>
          <w:szCs w:val="28"/>
        </w:rPr>
        <w:t>as the disinterested trustee deemed desirable for the benefit of the child</w:t>
      </w:r>
    </w:p>
    <w:p w14:paraId="63631383" w14:textId="77777777" w:rsidR="00C90E87" w:rsidRPr="00D57920" w:rsidRDefault="0090624A"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each </w:t>
      </w:r>
      <w:proofErr w:type="spellStart"/>
      <w:r w:rsidRPr="00D57920">
        <w:rPr>
          <w:rFonts w:ascii="Times New Roman" w:hAnsi="Times New Roman" w:cs="Times New Roman"/>
          <w:sz w:val="28"/>
          <w:szCs w:val="28"/>
        </w:rPr>
        <w:t>subtrust</w:t>
      </w:r>
      <w:proofErr w:type="spellEnd"/>
      <w:r w:rsidRPr="00D57920">
        <w:rPr>
          <w:rFonts w:ascii="Times New Roman" w:hAnsi="Times New Roman" w:cs="Times New Roman"/>
          <w:sz w:val="28"/>
          <w:szCs w:val="28"/>
        </w:rPr>
        <w:t xml:space="preserve"> required there to be a disinterested trustee, as only that disinterested trustee was permitted to participate in decisions regarding the making of distributions from the </w:t>
      </w:r>
      <w:proofErr w:type="spellStart"/>
      <w:r w:rsidRPr="00D57920">
        <w:rPr>
          <w:rFonts w:ascii="Times New Roman" w:hAnsi="Times New Roman" w:cs="Times New Roman"/>
          <w:sz w:val="28"/>
          <w:szCs w:val="28"/>
        </w:rPr>
        <w:t>subtrusts</w:t>
      </w:r>
      <w:proofErr w:type="spellEnd"/>
    </w:p>
    <w:p w14:paraId="6AF07E26" w14:textId="77777777" w:rsidR="0090624A" w:rsidRPr="00D57920" w:rsidRDefault="0090624A"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the existing trustee brought an action seeking instructions as to whether he was authorized, without the consent of any beneficiary or any court, to decant each of the </w:t>
      </w:r>
      <w:proofErr w:type="spellStart"/>
      <w:r w:rsidRPr="00D57920">
        <w:rPr>
          <w:rFonts w:ascii="Times New Roman" w:hAnsi="Times New Roman" w:cs="Times New Roman"/>
          <w:sz w:val="28"/>
          <w:szCs w:val="28"/>
        </w:rPr>
        <w:t>subtrusts</w:t>
      </w:r>
      <w:proofErr w:type="spellEnd"/>
      <w:r w:rsidRPr="00D57920">
        <w:rPr>
          <w:rFonts w:ascii="Times New Roman" w:hAnsi="Times New Roman" w:cs="Times New Roman"/>
          <w:sz w:val="28"/>
          <w:szCs w:val="28"/>
        </w:rPr>
        <w:t xml:space="preserve"> (this was needed to avoid any adverse GST tax consequences upon the decanting)</w:t>
      </w:r>
    </w:p>
    <w:p w14:paraId="272477C9" w14:textId="77777777" w:rsidR="0090624A" w:rsidRPr="00D57920" w:rsidRDefault="0090624A"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his stated intention was to create new trusts whereby each of the children could be a trustee of his own </w:t>
      </w:r>
      <w:proofErr w:type="spellStart"/>
      <w:r w:rsidRPr="00D57920">
        <w:rPr>
          <w:rFonts w:ascii="Times New Roman" w:hAnsi="Times New Roman" w:cs="Times New Roman"/>
          <w:sz w:val="28"/>
          <w:szCs w:val="28"/>
        </w:rPr>
        <w:t>subtrust</w:t>
      </w:r>
      <w:proofErr w:type="spellEnd"/>
      <w:r w:rsidRPr="00D57920">
        <w:rPr>
          <w:rFonts w:ascii="Times New Roman" w:hAnsi="Times New Roman" w:cs="Times New Roman"/>
          <w:sz w:val="28"/>
          <w:szCs w:val="28"/>
        </w:rPr>
        <w:t>, and thus participate in distribution decisions</w:t>
      </w:r>
    </w:p>
    <w:p w14:paraId="3D1416C9" w14:textId="77777777" w:rsidR="0090624A" w:rsidRPr="00D57920" w:rsidRDefault="0090624A"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the court held that the trustee did have the power to decant and that the trustee did not need court approval and did not need the consent of any beneficiary</w:t>
      </w:r>
    </w:p>
    <w:p w14:paraId="46BB02C6" w14:textId="77777777" w:rsidR="0090624A" w:rsidRPr="00D57920" w:rsidRDefault="0090624A"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central to the court’s holding were the following two points:</w:t>
      </w:r>
    </w:p>
    <w:p w14:paraId="0F663309" w14:textId="77777777" w:rsidR="0090624A" w:rsidRPr="00D57920" w:rsidRDefault="0090624A" w:rsidP="00703575">
      <w:pPr>
        <w:pStyle w:val="ListParagraph"/>
        <w:numPr>
          <w:ilvl w:val="2"/>
          <w:numId w:val="1"/>
        </w:numPr>
        <w:rPr>
          <w:rFonts w:ascii="Times New Roman" w:hAnsi="Times New Roman" w:cs="Times New Roman"/>
          <w:sz w:val="28"/>
          <w:szCs w:val="28"/>
        </w:rPr>
      </w:pPr>
      <w:r w:rsidRPr="00D57920">
        <w:rPr>
          <w:rFonts w:ascii="Times New Roman" w:hAnsi="Times New Roman" w:cs="Times New Roman"/>
          <w:sz w:val="28"/>
          <w:szCs w:val="28"/>
        </w:rPr>
        <w:t>donor intent</w:t>
      </w:r>
    </w:p>
    <w:p w14:paraId="5EC09039" w14:textId="77777777" w:rsidR="0090624A" w:rsidRPr="00D57920" w:rsidRDefault="0090624A" w:rsidP="00703575">
      <w:pPr>
        <w:pStyle w:val="ListParagraph"/>
        <w:numPr>
          <w:ilvl w:val="2"/>
          <w:numId w:val="1"/>
        </w:numPr>
        <w:rPr>
          <w:rFonts w:ascii="Times New Roman" w:hAnsi="Times New Roman" w:cs="Times New Roman"/>
          <w:sz w:val="28"/>
          <w:szCs w:val="28"/>
        </w:rPr>
      </w:pPr>
      <w:r w:rsidRPr="00D57920">
        <w:rPr>
          <w:rFonts w:ascii="Times New Roman" w:hAnsi="Times New Roman" w:cs="Times New Roman"/>
          <w:sz w:val="28"/>
          <w:szCs w:val="28"/>
        </w:rPr>
        <w:t>the power of the trustee to distribute to or for the benefit of the beneficiary</w:t>
      </w:r>
    </w:p>
    <w:p w14:paraId="1C69BE24" w14:textId="77777777" w:rsidR="003D7056" w:rsidRPr="00D57920" w:rsidRDefault="003D7056"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u w:val="single"/>
        </w:rPr>
        <w:t>donor intent</w:t>
      </w:r>
      <w:r w:rsidRPr="00D57920">
        <w:rPr>
          <w:rFonts w:ascii="Times New Roman" w:hAnsi="Times New Roman" w:cs="Times New Roman"/>
          <w:sz w:val="28"/>
          <w:szCs w:val="28"/>
        </w:rPr>
        <w:t xml:space="preserve"> – this was confirmed by affidavits submitted by both the drafting attorney and the donor, each confirming that they intended to allow this type of decanting when the trust was drafted in 1982</w:t>
      </w:r>
    </w:p>
    <w:p w14:paraId="1FB01FFB" w14:textId="77777777" w:rsidR="003D7056" w:rsidRPr="00D57920" w:rsidRDefault="003D7056"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u w:val="single"/>
        </w:rPr>
        <w:t>trustee power</w:t>
      </w:r>
      <w:r w:rsidRPr="00D57920">
        <w:rPr>
          <w:rFonts w:ascii="Times New Roman" w:hAnsi="Times New Roman" w:cs="Times New Roman"/>
          <w:sz w:val="28"/>
          <w:szCs w:val="28"/>
        </w:rPr>
        <w:t xml:space="preserve"> – in this case, because the trustee had such broad discretion to distribute to or for the benefit of the trust beneficiaries, the court reasoned that such a power would extend to include the power to create a new trust for such beneficiaries</w:t>
      </w:r>
    </w:p>
    <w:p w14:paraId="163667D6" w14:textId="77777777" w:rsidR="00D57920" w:rsidRDefault="00D57920">
      <w:pPr>
        <w:rPr>
          <w:rFonts w:ascii="Times New Roman" w:hAnsi="Times New Roman" w:cs="Times New Roman"/>
          <w:sz w:val="28"/>
          <w:szCs w:val="28"/>
        </w:rPr>
      </w:pPr>
      <w:r>
        <w:rPr>
          <w:rFonts w:ascii="Times New Roman" w:hAnsi="Times New Roman" w:cs="Times New Roman"/>
          <w:sz w:val="28"/>
          <w:szCs w:val="28"/>
        </w:rPr>
        <w:br w:type="page"/>
      </w:r>
    </w:p>
    <w:p w14:paraId="42C79CCD" w14:textId="5ABCC09F" w:rsidR="003D7056" w:rsidRPr="00D57920" w:rsidRDefault="00703575" w:rsidP="00703575">
      <w:pPr>
        <w:pStyle w:val="ListParagraph"/>
        <w:numPr>
          <w:ilvl w:val="0"/>
          <w:numId w:val="1"/>
        </w:numPr>
        <w:rPr>
          <w:rFonts w:ascii="Times New Roman" w:hAnsi="Times New Roman" w:cs="Times New Roman"/>
          <w:sz w:val="28"/>
          <w:szCs w:val="28"/>
        </w:rPr>
      </w:pPr>
      <w:r w:rsidRPr="00D57920">
        <w:rPr>
          <w:rFonts w:ascii="Times New Roman" w:hAnsi="Times New Roman" w:cs="Times New Roman"/>
          <w:sz w:val="28"/>
          <w:szCs w:val="28"/>
        </w:rPr>
        <w:lastRenderedPageBreak/>
        <w:t>L</w:t>
      </w:r>
      <w:r w:rsidR="003D7056" w:rsidRPr="00D57920">
        <w:rPr>
          <w:rFonts w:ascii="Times New Roman" w:hAnsi="Times New Roman" w:cs="Times New Roman"/>
          <w:sz w:val="28"/>
          <w:szCs w:val="28"/>
        </w:rPr>
        <w:t>imitations</w:t>
      </w:r>
      <w:r w:rsidR="009178F3" w:rsidRPr="00D57920">
        <w:rPr>
          <w:rFonts w:ascii="Times New Roman" w:hAnsi="Times New Roman" w:cs="Times New Roman"/>
          <w:sz w:val="28"/>
          <w:szCs w:val="28"/>
        </w:rPr>
        <w:t xml:space="preserve"> on the Ruling from </w:t>
      </w:r>
      <w:r w:rsidR="009178F3" w:rsidRPr="00D57920">
        <w:rPr>
          <w:rFonts w:ascii="Times New Roman" w:hAnsi="Times New Roman" w:cs="Times New Roman"/>
          <w:sz w:val="28"/>
          <w:szCs w:val="28"/>
          <w:u w:val="single"/>
        </w:rPr>
        <w:t>Morse v. Kraft</w:t>
      </w:r>
      <w:r w:rsidR="003D7056" w:rsidRPr="00D57920">
        <w:rPr>
          <w:rFonts w:ascii="Times New Roman" w:hAnsi="Times New Roman" w:cs="Times New Roman"/>
          <w:sz w:val="28"/>
          <w:szCs w:val="28"/>
        </w:rPr>
        <w:t>:</w:t>
      </w:r>
    </w:p>
    <w:p w14:paraId="7ED73C49" w14:textId="77777777" w:rsidR="003D7056" w:rsidRPr="00D57920" w:rsidRDefault="003D7056"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a trustee can only exercise a decanting power in keeping with fiduciary obligations</w:t>
      </w:r>
    </w:p>
    <w:p w14:paraId="2230B83A" w14:textId="77777777" w:rsidR="003D7056" w:rsidRPr="00D57920" w:rsidRDefault="003D7056"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if the trustee power to distribute is more limited, there is no power to decant</w:t>
      </w:r>
    </w:p>
    <w:p w14:paraId="42185EB7" w14:textId="77777777" w:rsidR="003D7056" w:rsidRPr="00D57920" w:rsidRDefault="003D7056"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not-so-subtle suggestion from the court that if a grantor wants to authorize a trustee to have the power to decant, the trust language should grant the power specifically</w:t>
      </w:r>
      <w:r w:rsidR="00857486" w:rsidRPr="00D57920">
        <w:rPr>
          <w:rFonts w:ascii="Times New Roman" w:hAnsi="Times New Roman" w:cs="Times New Roman"/>
          <w:sz w:val="28"/>
          <w:szCs w:val="28"/>
        </w:rPr>
        <w:t xml:space="preserve"> </w:t>
      </w:r>
      <w:r w:rsidR="00857486" w:rsidRPr="00D57920">
        <w:rPr>
          <w:sz w:val="28"/>
          <w:szCs w:val="28"/>
        </w:rPr>
        <w:sym w:font="Wingdings" w:char="F0E0"/>
      </w:r>
      <w:r w:rsidR="00857486" w:rsidRPr="00D57920">
        <w:rPr>
          <w:rFonts w:ascii="Times New Roman" w:hAnsi="Times New Roman" w:cs="Times New Roman"/>
          <w:sz w:val="28"/>
          <w:szCs w:val="28"/>
        </w:rPr>
        <w:t xml:space="preserve"> the big question then will be how to deal with a trust that does not include the power explicitly but which has the generally broad distribution powers that were acceptable in Kraft</w:t>
      </w:r>
    </w:p>
    <w:p w14:paraId="3BF65D8F" w14:textId="77777777" w:rsidR="00857486" w:rsidRPr="00D57920" w:rsidRDefault="004161B4" w:rsidP="00703575">
      <w:pPr>
        <w:pStyle w:val="ListParagraph"/>
        <w:numPr>
          <w:ilvl w:val="2"/>
          <w:numId w:val="1"/>
        </w:numPr>
        <w:rPr>
          <w:rFonts w:ascii="Times New Roman" w:hAnsi="Times New Roman" w:cs="Times New Roman"/>
          <w:sz w:val="28"/>
          <w:szCs w:val="28"/>
        </w:rPr>
      </w:pPr>
      <w:r w:rsidRPr="00D57920">
        <w:rPr>
          <w:rFonts w:ascii="Times New Roman" w:hAnsi="Times New Roman" w:cs="Times New Roman"/>
          <w:sz w:val="28"/>
          <w:szCs w:val="28"/>
        </w:rPr>
        <w:t xml:space="preserve">but </w:t>
      </w:r>
      <w:r w:rsidR="00857486" w:rsidRPr="00D57920">
        <w:rPr>
          <w:rFonts w:ascii="Times New Roman" w:hAnsi="Times New Roman" w:cs="Times New Roman"/>
          <w:sz w:val="28"/>
          <w:szCs w:val="28"/>
        </w:rPr>
        <w:t xml:space="preserve">see the </w:t>
      </w:r>
      <w:proofErr w:type="spellStart"/>
      <w:r w:rsidR="00857486" w:rsidRPr="00D57920">
        <w:rPr>
          <w:rFonts w:ascii="Times New Roman" w:hAnsi="Times New Roman" w:cs="Times New Roman"/>
          <w:sz w:val="28"/>
          <w:szCs w:val="28"/>
        </w:rPr>
        <w:t>Ferri</w:t>
      </w:r>
      <w:proofErr w:type="spellEnd"/>
      <w:r w:rsidR="00857486" w:rsidRPr="00D57920">
        <w:rPr>
          <w:rFonts w:ascii="Times New Roman" w:hAnsi="Times New Roman" w:cs="Times New Roman"/>
          <w:sz w:val="28"/>
          <w:szCs w:val="28"/>
        </w:rPr>
        <w:t xml:space="preserve"> case </w:t>
      </w:r>
      <w:r w:rsidRPr="00D57920">
        <w:rPr>
          <w:rFonts w:ascii="Times New Roman" w:hAnsi="Times New Roman" w:cs="Times New Roman"/>
          <w:sz w:val="28"/>
          <w:szCs w:val="28"/>
        </w:rPr>
        <w:t>which seems to have concluded that no specific mention of decanting is required</w:t>
      </w:r>
    </w:p>
    <w:p w14:paraId="757010EF" w14:textId="77777777" w:rsidR="00DE7752" w:rsidRPr="00D57920" w:rsidRDefault="00DE7752" w:rsidP="00D57920">
      <w:pPr>
        <w:pStyle w:val="ListParagraph"/>
        <w:numPr>
          <w:ilvl w:val="2"/>
          <w:numId w:val="1"/>
        </w:numPr>
        <w:spacing w:after="480"/>
        <w:ind w:left="2174" w:hanging="187"/>
        <w:contextualSpacing w:val="0"/>
        <w:rPr>
          <w:rFonts w:ascii="Times New Roman" w:hAnsi="Times New Roman" w:cs="Times New Roman"/>
          <w:sz w:val="28"/>
          <w:szCs w:val="28"/>
        </w:rPr>
      </w:pPr>
      <w:r w:rsidRPr="00D57920">
        <w:rPr>
          <w:rFonts w:ascii="Times New Roman" w:hAnsi="Times New Roman" w:cs="Times New Roman"/>
          <w:sz w:val="28"/>
          <w:szCs w:val="28"/>
        </w:rPr>
        <w:t>best practice is probably to be clear one way or the other in the instrument as to whether you (as grantor) want to authorize decanting or not</w:t>
      </w:r>
    </w:p>
    <w:p w14:paraId="6746A6CB" w14:textId="77777777" w:rsidR="00703575" w:rsidRPr="00D57920" w:rsidRDefault="00703575" w:rsidP="00703575">
      <w:pPr>
        <w:pStyle w:val="ListParagraph"/>
        <w:numPr>
          <w:ilvl w:val="0"/>
          <w:numId w:val="1"/>
        </w:numPr>
        <w:rPr>
          <w:rFonts w:ascii="Times New Roman" w:hAnsi="Times New Roman" w:cs="Times New Roman"/>
          <w:sz w:val="28"/>
          <w:szCs w:val="28"/>
        </w:rPr>
      </w:pPr>
      <w:r w:rsidRPr="00D57920">
        <w:rPr>
          <w:rFonts w:ascii="Times New Roman" w:hAnsi="Times New Roman" w:cs="Times New Roman"/>
          <w:sz w:val="28"/>
          <w:szCs w:val="28"/>
        </w:rPr>
        <w:t>Practical Considerations and Concerns from Kraft case:</w:t>
      </w:r>
    </w:p>
    <w:p w14:paraId="1C79B142" w14:textId="77777777" w:rsidR="00430986" w:rsidRPr="00D57920" w:rsidRDefault="009178F3"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Decanting as a tool is not a bad thing; however, from a practitioner’s perspective, it would be better if the authority to do so was made clear in either a statute or the instrument itself as to whether the power to decant was intended or permissible. </w:t>
      </w:r>
    </w:p>
    <w:p w14:paraId="0391FFF4" w14:textId="77777777" w:rsidR="00430986" w:rsidRPr="00D57920" w:rsidRDefault="009178F3"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A big </w:t>
      </w:r>
      <w:r w:rsidR="00703575" w:rsidRPr="00D57920">
        <w:rPr>
          <w:rFonts w:ascii="Times New Roman" w:hAnsi="Times New Roman" w:cs="Times New Roman"/>
          <w:sz w:val="28"/>
          <w:szCs w:val="28"/>
        </w:rPr>
        <w:t xml:space="preserve">concern with </w:t>
      </w:r>
      <w:r w:rsidR="00430986" w:rsidRPr="00D57920">
        <w:rPr>
          <w:rFonts w:ascii="Times New Roman" w:hAnsi="Times New Roman" w:cs="Times New Roman"/>
          <w:sz w:val="28"/>
          <w:szCs w:val="28"/>
        </w:rPr>
        <w:t>the decanting power is the ability to abuse this power; presumably, the grantor established a trust with particular provisions for particular reasons; not every case will be like Kraft where the donor will still be alive; many (if not most) cases will involve trusts where the grantor is deceased and we can only infer his/her intent from within the four corners of the instrument</w:t>
      </w:r>
    </w:p>
    <w:p w14:paraId="1314F85A" w14:textId="382664C8" w:rsidR="00430986" w:rsidRDefault="009178F3"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Another concern from the facts of the case is the Court’s reliance on </w:t>
      </w:r>
      <w:r w:rsidR="00430986" w:rsidRPr="00D57920">
        <w:rPr>
          <w:rFonts w:ascii="Times New Roman" w:hAnsi="Times New Roman" w:cs="Times New Roman"/>
          <w:sz w:val="28"/>
          <w:szCs w:val="28"/>
        </w:rPr>
        <w:t>an affidavit from someone who claims that back in 1982, when decanting wasn’t even a “thing”, that they intended to grant such broad authority to a trustee</w:t>
      </w:r>
    </w:p>
    <w:p w14:paraId="33F51064" w14:textId="77777777" w:rsidR="00D57920" w:rsidRPr="00D57920" w:rsidRDefault="00D57920" w:rsidP="00D57920">
      <w:pPr>
        <w:pStyle w:val="ListParagraph"/>
        <w:ind w:left="1440"/>
        <w:rPr>
          <w:rFonts w:ascii="Times New Roman" w:hAnsi="Times New Roman" w:cs="Times New Roman"/>
          <w:sz w:val="28"/>
          <w:szCs w:val="28"/>
        </w:rPr>
      </w:pPr>
    </w:p>
    <w:p w14:paraId="26885DD4" w14:textId="77777777" w:rsidR="00430986" w:rsidRPr="00D57920" w:rsidRDefault="00703575" w:rsidP="00703575">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lastRenderedPageBreak/>
        <w:t xml:space="preserve">To </w:t>
      </w:r>
      <w:r w:rsidR="00430986" w:rsidRPr="00D57920">
        <w:rPr>
          <w:rFonts w:ascii="Times New Roman" w:hAnsi="Times New Roman" w:cs="Times New Roman"/>
          <w:sz w:val="28"/>
          <w:szCs w:val="28"/>
        </w:rPr>
        <w:t xml:space="preserve">avoid all doubt, </w:t>
      </w:r>
      <w:r w:rsidR="009178F3" w:rsidRPr="00D57920">
        <w:rPr>
          <w:rFonts w:ascii="Times New Roman" w:hAnsi="Times New Roman" w:cs="Times New Roman"/>
          <w:sz w:val="28"/>
          <w:szCs w:val="28"/>
        </w:rPr>
        <w:t>(in my opinion) the</w:t>
      </w:r>
      <w:r w:rsidR="00430986" w:rsidRPr="00D57920">
        <w:rPr>
          <w:rFonts w:ascii="Times New Roman" w:hAnsi="Times New Roman" w:cs="Times New Roman"/>
          <w:sz w:val="28"/>
          <w:szCs w:val="28"/>
        </w:rPr>
        <w:t xml:space="preserve"> best practice is to state specifically one way or the other if the grantor intends to permit the trustee to decant the trust property at some point in the future; moreover, if the grantor is willing to allow the decanting, the clause in the trust should outline the acceptable parameters</w:t>
      </w:r>
      <w:r w:rsidR="00C1242C" w:rsidRPr="00D57920">
        <w:rPr>
          <w:rFonts w:ascii="Times New Roman" w:hAnsi="Times New Roman" w:cs="Times New Roman"/>
          <w:sz w:val="28"/>
          <w:szCs w:val="28"/>
        </w:rPr>
        <w:t>; alternatively, if the grantor does not wish to allow the trustee to be able to decant, he/she can say so in the instrument</w:t>
      </w:r>
    </w:p>
    <w:p w14:paraId="58844C48" w14:textId="77777777" w:rsidR="00835E0A" w:rsidRPr="00D57920" w:rsidRDefault="00934B7C" w:rsidP="00D57920">
      <w:pPr>
        <w:pStyle w:val="ListParagraph"/>
        <w:numPr>
          <w:ilvl w:val="1"/>
          <w:numId w:val="1"/>
        </w:numPr>
        <w:spacing w:after="480"/>
        <w:contextualSpacing w:val="0"/>
        <w:rPr>
          <w:rFonts w:ascii="Times New Roman" w:hAnsi="Times New Roman" w:cs="Times New Roman"/>
          <w:sz w:val="28"/>
          <w:szCs w:val="28"/>
        </w:rPr>
      </w:pPr>
      <w:r w:rsidRPr="00D57920">
        <w:rPr>
          <w:rFonts w:ascii="Times New Roman" w:hAnsi="Times New Roman" w:cs="Times New Roman"/>
          <w:sz w:val="28"/>
          <w:szCs w:val="28"/>
        </w:rPr>
        <w:t>T</w:t>
      </w:r>
      <w:r w:rsidR="00835E0A" w:rsidRPr="00D57920">
        <w:rPr>
          <w:rFonts w:ascii="Times New Roman" w:hAnsi="Times New Roman" w:cs="Times New Roman"/>
          <w:sz w:val="28"/>
          <w:szCs w:val="28"/>
        </w:rPr>
        <w:t>he counter argument, of course, is that the future is unpredictable and the more flexibility we can give to the trustees to make changes to benefit the beneficiaries, the better; people die unexpectedly without having enough time to make the changes they would have liked to have made to their plans; the needs of beneficiaries change over time, and sometimes well after the death of the grantor</w:t>
      </w:r>
    </w:p>
    <w:p w14:paraId="666F3DD2" w14:textId="77777777" w:rsidR="00C90E87" w:rsidRPr="00D57920" w:rsidRDefault="009178F3" w:rsidP="007436B2">
      <w:pPr>
        <w:pStyle w:val="ListParagraph"/>
        <w:numPr>
          <w:ilvl w:val="0"/>
          <w:numId w:val="1"/>
        </w:numPr>
        <w:rPr>
          <w:rFonts w:ascii="Times New Roman" w:hAnsi="Times New Roman" w:cs="Times New Roman"/>
          <w:sz w:val="28"/>
          <w:szCs w:val="28"/>
        </w:rPr>
      </w:pPr>
      <w:r w:rsidRPr="00D57920">
        <w:rPr>
          <w:rFonts w:ascii="Times New Roman" w:hAnsi="Times New Roman" w:cs="Times New Roman"/>
          <w:sz w:val="28"/>
          <w:szCs w:val="28"/>
        </w:rPr>
        <w:t>The following e</w:t>
      </w:r>
      <w:r w:rsidR="007436B2" w:rsidRPr="00D57920">
        <w:rPr>
          <w:rFonts w:ascii="Times New Roman" w:hAnsi="Times New Roman" w:cs="Times New Roman"/>
          <w:sz w:val="28"/>
          <w:szCs w:val="28"/>
        </w:rPr>
        <w:t xml:space="preserve">xample </w:t>
      </w:r>
      <w:r w:rsidRPr="00D57920">
        <w:rPr>
          <w:rFonts w:ascii="Times New Roman" w:hAnsi="Times New Roman" w:cs="Times New Roman"/>
          <w:sz w:val="28"/>
          <w:szCs w:val="28"/>
        </w:rPr>
        <w:t xml:space="preserve">illustrates how decanting can be </w:t>
      </w:r>
      <w:r w:rsidR="007436B2" w:rsidRPr="00D57920">
        <w:rPr>
          <w:rFonts w:ascii="Times New Roman" w:hAnsi="Times New Roman" w:cs="Times New Roman"/>
          <w:sz w:val="28"/>
          <w:szCs w:val="28"/>
        </w:rPr>
        <w:t xml:space="preserve">used positively </w:t>
      </w:r>
      <w:r w:rsidRPr="00D57920">
        <w:rPr>
          <w:rFonts w:ascii="Times New Roman" w:hAnsi="Times New Roman" w:cs="Times New Roman"/>
          <w:sz w:val="28"/>
          <w:szCs w:val="28"/>
        </w:rPr>
        <w:t xml:space="preserve">even </w:t>
      </w:r>
      <w:r w:rsidR="007436B2" w:rsidRPr="00D57920">
        <w:rPr>
          <w:rFonts w:ascii="Times New Roman" w:hAnsi="Times New Roman" w:cs="Times New Roman"/>
          <w:sz w:val="28"/>
          <w:szCs w:val="28"/>
        </w:rPr>
        <w:t xml:space="preserve">without reference </w:t>
      </w:r>
      <w:r w:rsidRPr="00D57920">
        <w:rPr>
          <w:rFonts w:ascii="Times New Roman" w:hAnsi="Times New Roman" w:cs="Times New Roman"/>
          <w:sz w:val="28"/>
          <w:szCs w:val="28"/>
        </w:rPr>
        <w:t xml:space="preserve">to the power </w:t>
      </w:r>
      <w:r w:rsidR="007436B2" w:rsidRPr="00D57920">
        <w:rPr>
          <w:rFonts w:ascii="Times New Roman" w:hAnsi="Times New Roman" w:cs="Times New Roman"/>
          <w:sz w:val="28"/>
          <w:szCs w:val="28"/>
        </w:rPr>
        <w:t>in the trust:</w:t>
      </w:r>
    </w:p>
    <w:p w14:paraId="54A38F0F" w14:textId="77777777" w:rsidR="00835E0A" w:rsidRPr="00D57920" w:rsidRDefault="00835E0A" w:rsidP="007436B2">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father died tragically leaving behind a surviving spouse and one adult child</w:t>
      </w:r>
    </w:p>
    <w:p w14:paraId="21B41043" w14:textId="77777777" w:rsidR="00835E0A" w:rsidRPr="00D57920" w:rsidRDefault="00835E0A" w:rsidP="007436B2">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child really struggled with the death of her father</w:t>
      </w:r>
    </w:p>
    <w:p w14:paraId="13E09DB4" w14:textId="77777777" w:rsidR="00835E0A" w:rsidRPr="00D57920" w:rsidRDefault="00835E0A" w:rsidP="007436B2">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father’s estate plan set up two trusts, one for his wife and one for his daughter</w:t>
      </w:r>
    </w:p>
    <w:p w14:paraId="2B0EC12F" w14:textId="77777777" w:rsidR="00835E0A" w:rsidRPr="00D57920" w:rsidRDefault="00835E0A" w:rsidP="007436B2">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among other things, the trust for his daughter provided that after the second death, the trust for his daughter would terminate in favor of the daughter at age 40</w:t>
      </w:r>
    </w:p>
    <w:p w14:paraId="7015E3CA" w14:textId="77777777" w:rsidR="00835E0A" w:rsidRPr="00D57920" w:rsidRDefault="00835E0A" w:rsidP="007436B2">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in the years since the father died, the daughter proved to be someone who needed a lot of assistance and guidance with financial and all manner of life’s necessities; she struggled mightily with relationships and with a variety of other issues</w:t>
      </w:r>
    </w:p>
    <w:p w14:paraId="12D0B3AC" w14:textId="7B10C32D" w:rsidR="00F221C2" w:rsidRDefault="00F221C2" w:rsidP="007436B2">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the trustees used the Kraft case to </w:t>
      </w:r>
      <w:proofErr w:type="gramStart"/>
      <w:r w:rsidRPr="00D57920">
        <w:rPr>
          <w:rFonts w:ascii="Times New Roman" w:hAnsi="Times New Roman" w:cs="Times New Roman"/>
          <w:sz w:val="28"/>
          <w:szCs w:val="28"/>
        </w:rPr>
        <w:t>effect</w:t>
      </w:r>
      <w:proofErr w:type="gramEnd"/>
      <w:r w:rsidRPr="00D57920">
        <w:rPr>
          <w:rFonts w:ascii="Times New Roman" w:hAnsi="Times New Roman" w:cs="Times New Roman"/>
          <w:sz w:val="28"/>
          <w:szCs w:val="28"/>
        </w:rPr>
        <w:t xml:space="preserve"> a decanting of both mom’s trust and daughter’s trust to modify the outright distribution provisions for the benefit of the daughter in order to provide her with the protection she needed; </w:t>
      </w:r>
    </w:p>
    <w:p w14:paraId="4D1C8D16" w14:textId="77777777" w:rsidR="00D57920" w:rsidRPr="00D57920" w:rsidRDefault="00D57920" w:rsidP="00D57920">
      <w:pPr>
        <w:pStyle w:val="ListParagraph"/>
        <w:ind w:left="1440"/>
        <w:rPr>
          <w:rFonts w:ascii="Times New Roman" w:hAnsi="Times New Roman" w:cs="Times New Roman"/>
          <w:sz w:val="28"/>
          <w:szCs w:val="28"/>
        </w:rPr>
      </w:pPr>
    </w:p>
    <w:p w14:paraId="6B89878D" w14:textId="77777777" w:rsidR="00F221C2" w:rsidRPr="00D57920" w:rsidRDefault="00F221C2" w:rsidP="00BF5100">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lastRenderedPageBreak/>
        <w:t>the power to decant was clearly never contemplated by the grantor, but the trustees had broad discretion to make distributions to the daughter and had known the grantor personally for many years – they felt that they knew this is what the grantor would have done had he still be alive</w:t>
      </w:r>
    </w:p>
    <w:p w14:paraId="162223A9" w14:textId="77777777" w:rsidR="00F221C2" w:rsidRPr="00D57920" w:rsidRDefault="00F221C2" w:rsidP="00BF5100">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Not every case will be so simple.  When the beneficiaries are a contained class and there are no other people in the picture, a decanting action is simple.  </w:t>
      </w:r>
    </w:p>
    <w:p w14:paraId="36BED28D" w14:textId="77777777" w:rsidR="00F221C2" w:rsidRPr="00D57920" w:rsidRDefault="00687887" w:rsidP="00D57920">
      <w:pPr>
        <w:pStyle w:val="ListParagraph"/>
        <w:numPr>
          <w:ilvl w:val="1"/>
          <w:numId w:val="1"/>
        </w:numPr>
        <w:spacing w:after="480"/>
        <w:contextualSpacing w:val="0"/>
        <w:rPr>
          <w:rFonts w:ascii="Times New Roman" w:hAnsi="Times New Roman" w:cs="Times New Roman"/>
          <w:sz w:val="28"/>
          <w:szCs w:val="28"/>
        </w:rPr>
      </w:pPr>
      <w:r w:rsidRPr="00D57920">
        <w:rPr>
          <w:rFonts w:ascii="Times New Roman" w:hAnsi="Times New Roman" w:cs="Times New Roman"/>
          <w:sz w:val="28"/>
          <w:szCs w:val="28"/>
        </w:rPr>
        <w:t xml:space="preserve">On the other hand, when there is a spouse involved, or when there may be other creditors hanging around, decanting gets a bit trickier.  </w:t>
      </w:r>
    </w:p>
    <w:p w14:paraId="51A041FD" w14:textId="77777777" w:rsidR="00FD0225" w:rsidRPr="00D57920" w:rsidRDefault="00FA1D18" w:rsidP="00FD0225">
      <w:pPr>
        <w:pStyle w:val="ListParagraph"/>
        <w:numPr>
          <w:ilvl w:val="0"/>
          <w:numId w:val="1"/>
        </w:numPr>
        <w:rPr>
          <w:rFonts w:ascii="Times New Roman" w:hAnsi="Times New Roman" w:cs="Times New Roman"/>
          <w:sz w:val="28"/>
          <w:szCs w:val="28"/>
        </w:rPr>
      </w:pPr>
      <w:r w:rsidRPr="00D57920">
        <w:rPr>
          <w:rFonts w:ascii="Times New Roman" w:hAnsi="Times New Roman" w:cs="Times New Roman"/>
          <w:sz w:val="28"/>
          <w:szCs w:val="28"/>
        </w:rPr>
        <w:t>Legislative Response</w:t>
      </w:r>
    </w:p>
    <w:p w14:paraId="0C106DCA" w14:textId="77777777" w:rsidR="00FA1D18" w:rsidRPr="00D57920" w:rsidRDefault="00FA1D18" w:rsidP="00FA1D18">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Largely in response to the Kraft case, the Standing Committee on MA Legislation Related to Wills, Trusts, Estates and Fiduciary Administration appointed a subcommittee to look at decanting</w:t>
      </w:r>
    </w:p>
    <w:p w14:paraId="6D50A0EB" w14:textId="77777777" w:rsidR="00FA1D18" w:rsidRPr="00D57920" w:rsidRDefault="00FA1D18" w:rsidP="00FA1D18">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Legislation is being based on the uniform decanting statute, but won’t be the exclusive way to decant; both statutory and common law decanting will be available (provided that if you rely on common law it must be consistent with settlor’s intent)</w:t>
      </w:r>
    </w:p>
    <w:p w14:paraId="493A3C99" w14:textId="77777777" w:rsidR="009178F3" w:rsidRPr="00D57920" w:rsidRDefault="009178F3" w:rsidP="00D57920">
      <w:pPr>
        <w:pStyle w:val="ListParagraph"/>
        <w:numPr>
          <w:ilvl w:val="1"/>
          <w:numId w:val="1"/>
        </w:numPr>
        <w:spacing w:after="480"/>
        <w:contextualSpacing w:val="0"/>
        <w:rPr>
          <w:rFonts w:ascii="Times New Roman" w:hAnsi="Times New Roman" w:cs="Times New Roman"/>
          <w:sz w:val="28"/>
          <w:szCs w:val="28"/>
        </w:rPr>
      </w:pPr>
      <w:r w:rsidRPr="00D57920">
        <w:rPr>
          <w:rFonts w:ascii="Times New Roman" w:hAnsi="Times New Roman" w:cs="Times New Roman"/>
          <w:sz w:val="28"/>
          <w:szCs w:val="28"/>
        </w:rPr>
        <w:t xml:space="preserve">On January 18, </w:t>
      </w:r>
      <w:proofErr w:type="gramStart"/>
      <w:r w:rsidRPr="00D57920">
        <w:rPr>
          <w:rFonts w:ascii="Times New Roman" w:hAnsi="Times New Roman" w:cs="Times New Roman"/>
          <w:sz w:val="28"/>
          <w:szCs w:val="28"/>
        </w:rPr>
        <w:t>2019</w:t>
      </w:r>
      <w:proofErr w:type="gramEnd"/>
      <w:r w:rsidRPr="00D57920">
        <w:rPr>
          <w:rFonts w:ascii="Times New Roman" w:hAnsi="Times New Roman" w:cs="Times New Roman"/>
          <w:sz w:val="28"/>
          <w:szCs w:val="28"/>
        </w:rPr>
        <w:t xml:space="preserve"> a bill was filed in the Senate, sponsored by Cynthia Stone Creem, proposing the Massachusetts Uniform Decanting Statute</w:t>
      </w:r>
    </w:p>
    <w:p w14:paraId="0CD13168" w14:textId="77777777" w:rsidR="00D57920" w:rsidRDefault="00D57920">
      <w:pPr>
        <w:rPr>
          <w:rFonts w:ascii="Times New Roman" w:hAnsi="Times New Roman" w:cs="Times New Roman"/>
          <w:sz w:val="28"/>
          <w:szCs w:val="28"/>
          <w:u w:val="single"/>
        </w:rPr>
      </w:pPr>
      <w:r>
        <w:rPr>
          <w:rFonts w:ascii="Times New Roman" w:hAnsi="Times New Roman" w:cs="Times New Roman"/>
          <w:sz w:val="28"/>
          <w:szCs w:val="28"/>
          <w:u w:val="single"/>
        </w:rPr>
        <w:br w:type="page"/>
      </w:r>
    </w:p>
    <w:p w14:paraId="5A33A2B5" w14:textId="456D4A89" w:rsidR="00114E70" w:rsidRPr="00D57920" w:rsidRDefault="00114E70" w:rsidP="00114E70">
      <w:pPr>
        <w:pStyle w:val="ListParagraph"/>
        <w:numPr>
          <w:ilvl w:val="0"/>
          <w:numId w:val="1"/>
        </w:numPr>
        <w:rPr>
          <w:rFonts w:ascii="Times New Roman" w:hAnsi="Times New Roman" w:cs="Times New Roman"/>
          <w:sz w:val="28"/>
          <w:szCs w:val="28"/>
        </w:rPr>
      </w:pPr>
      <w:proofErr w:type="spellStart"/>
      <w:r w:rsidRPr="00D57920">
        <w:rPr>
          <w:rFonts w:ascii="Times New Roman" w:hAnsi="Times New Roman" w:cs="Times New Roman"/>
          <w:sz w:val="28"/>
          <w:szCs w:val="28"/>
          <w:u w:val="single"/>
        </w:rPr>
        <w:lastRenderedPageBreak/>
        <w:t>Ferri</w:t>
      </w:r>
      <w:proofErr w:type="spellEnd"/>
      <w:r w:rsidRPr="00D57920">
        <w:rPr>
          <w:rFonts w:ascii="Times New Roman" w:hAnsi="Times New Roman" w:cs="Times New Roman"/>
          <w:sz w:val="28"/>
          <w:szCs w:val="28"/>
          <w:u w:val="single"/>
        </w:rPr>
        <w:t xml:space="preserve"> v. Powell-</w:t>
      </w:r>
      <w:proofErr w:type="spellStart"/>
      <w:r w:rsidRPr="00D57920">
        <w:rPr>
          <w:rFonts w:ascii="Times New Roman" w:hAnsi="Times New Roman" w:cs="Times New Roman"/>
          <w:sz w:val="28"/>
          <w:szCs w:val="28"/>
          <w:u w:val="single"/>
        </w:rPr>
        <w:t>Ferri</w:t>
      </w:r>
      <w:proofErr w:type="spellEnd"/>
      <w:r w:rsidR="00FA1D18" w:rsidRPr="00D57920">
        <w:rPr>
          <w:rFonts w:ascii="Times New Roman" w:hAnsi="Times New Roman" w:cs="Times New Roman"/>
          <w:sz w:val="28"/>
          <w:szCs w:val="28"/>
        </w:rPr>
        <w:t xml:space="preserve"> (SJC-12070) (2017)</w:t>
      </w:r>
    </w:p>
    <w:p w14:paraId="09F5CD87" w14:textId="77777777" w:rsidR="00114E70" w:rsidRPr="00D57920" w:rsidRDefault="00E34969" w:rsidP="00114E70">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Paul </w:t>
      </w:r>
      <w:proofErr w:type="spellStart"/>
      <w:r w:rsidRPr="00D57920">
        <w:rPr>
          <w:rFonts w:ascii="Times New Roman" w:hAnsi="Times New Roman" w:cs="Times New Roman"/>
          <w:sz w:val="28"/>
          <w:szCs w:val="28"/>
        </w:rPr>
        <w:t>Ferri</w:t>
      </w:r>
      <w:proofErr w:type="spellEnd"/>
      <w:r w:rsidRPr="00D57920">
        <w:rPr>
          <w:rFonts w:ascii="Times New Roman" w:hAnsi="Times New Roman" w:cs="Times New Roman"/>
          <w:sz w:val="28"/>
          <w:szCs w:val="28"/>
        </w:rPr>
        <w:t xml:space="preserve"> was the beneficiary of an irrevocable trust, governed by Massachusetts law, established by his father in 1983</w:t>
      </w:r>
    </w:p>
    <w:p w14:paraId="35DA6A5E" w14:textId="77777777" w:rsidR="00E34969" w:rsidRPr="00D57920" w:rsidRDefault="00E34969" w:rsidP="00114E70">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The trust had withdrawal provisions that permitted Paul to request distributions at certain ages</w:t>
      </w:r>
    </w:p>
    <w:p w14:paraId="172F6614" w14:textId="77777777" w:rsidR="00E34969" w:rsidRPr="00D57920" w:rsidRDefault="00E34969" w:rsidP="00114E70">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Trustee also had the authority to “pay to or segregate irrevocably” assets for the benefit of Paul</w:t>
      </w:r>
    </w:p>
    <w:p w14:paraId="106BBD26" w14:textId="77777777" w:rsidR="00E34969" w:rsidRPr="00D57920" w:rsidRDefault="00E34969" w:rsidP="00114E70">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This case arose out of a Connecticut divorce matter</w:t>
      </w:r>
    </w:p>
    <w:p w14:paraId="104410E8" w14:textId="77777777" w:rsidR="00E34969" w:rsidRPr="00D57920" w:rsidRDefault="00E34969" w:rsidP="00114E70">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In 2011 the Trustees (who were Paul’s brother and another independent trustee) created a new trust and distributed </w:t>
      </w:r>
      <w:proofErr w:type="gramStart"/>
      <w:r w:rsidRPr="00D57920">
        <w:rPr>
          <w:rFonts w:ascii="Times New Roman" w:hAnsi="Times New Roman" w:cs="Times New Roman"/>
          <w:sz w:val="28"/>
          <w:szCs w:val="28"/>
        </w:rPr>
        <w:t>all of</w:t>
      </w:r>
      <w:proofErr w:type="gramEnd"/>
      <w:r w:rsidRPr="00D57920">
        <w:rPr>
          <w:rFonts w:ascii="Times New Roman" w:hAnsi="Times New Roman" w:cs="Times New Roman"/>
          <w:sz w:val="28"/>
          <w:szCs w:val="28"/>
        </w:rPr>
        <w:t xml:space="preserve"> the assets of the old trust to the new trust</w:t>
      </w:r>
    </w:p>
    <w:p w14:paraId="1E494D4E" w14:textId="77777777" w:rsidR="00E34969" w:rsidRPr="00D57920" w:rsidRDefault="00E34969" w:rsidP="00114E70">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At the time of the decanting, Paul had the right to withdraw up to 75% of the trust assets in the old trust – he had not yet exercised that right</w:t>
      </w:r>
    </w:p>
    <w:p w14:paraId="7D276593" w14:textId="77777777" w:rsidR="00E34969" w:rsidRPr="00D57920" w:rsidRDefault="004F23FB" w:rsidP="00114E70">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The new trust did not give Paul any rights to withdraw the trust property</w:t>
      </w:r>
    </w:p>
    <w:p w14:paraId="6B70BA1A" w14:textId="77777777" w:rsidR="004F23FB" w:rsidRPr="00D57920" w:rsidRDefault="004F23FB" w:rsidP="00114E70">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The Connecticut court determined that the trustees of the old trust decanted the assets to protect them from Paul’s wife through the divorce; the court also determined that the decanting was done without informing Paul and therefore did so without his consent</w:t>
      </w:r>
    </w:p>
    <w:p w14:paraId="5EA06178" w14:textId="77777777" w:rsidR="00DF2337" w:rsidRPr="00D57920" w:rsidRDefault="00DF2337" w:rsidP="00114E70">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The Connecticut Supreme Court certified three questions to the </w:t>
      </w:r>
      <w:proofErr w:type="gramStart"/>
      <w:r w:rsidRPr="00D57920">
        <w:rPr>
          <w:rFonts w:ascii="Times New Roman" w:hAnsi="Times New Roman" w:cs="Times New Roman"/>
          <w:sz w:val="28"/>
          <w:szCs w:val="28"/>
        </w:rPr>
        <w:t>SJC;</w:t>
      </w:r>
      <w:proofErr w:type="gramEnd"/>
    </w:p>
    <w:p w14:paraId="49C81355" w14:textId="77777777" w:rsidR="00DF2337" w:rsidRPr="00D57920" w:rsidRDefault="00DF2337" w:rsidP="00DF2337">
      <w:pPr>
        <w:pStyle w:val="ListParagraph"/>
        <w:numPr>
          <w:ilvl w:val="2"/>
          <w:numId w:val="1"/>
        </w:numPr>
        <w:rPr>
          <w:rFonts w:ascii="Times New Roman" w:hAnsi="Times New Roman" w:cs="Times New Roman"/>
          <w:sz w:val="28"/>
          <w:szCs w:val="28"/>
        </w:rPr>
      </w:pPr>
      <w:r w:rsidRPr="00D57920">
        <w:rPr>
          <w:rFonts w:ascii="Times New Roman" w:hAnsi="Times New Roman" w:cs="Times New Roman"/>
          <w:sz w:val="28"/>
          <w:szCs w:val="28"/>
        </w:rPr>
        <w:t xml:space="preserve">Under Massachusetts law, did the terms of the old trust empower its trustees to distribute substantially </w:t>
      </w:r>
      <w:proofErr w:type="gramStart"/>
      <w:r w:rsidRPr="00D57920">
        <w:rPr>
          <w:rFonts w:ascii="Times New Roman" w:hAnsi="Times New Roman" w:cs="Times New Roman"/>
          <w:sz w:val="28"/>
          <w:szCs w:val="28"/>
        </w:rPr>
        <w:t>all of</w:t>
      </w:r>
      <w:proofErr w:type="gramEnd"/>
      <w:r w:rsidRPr="00D57920">
        <w:rPr>
          <w:rFonts w:ascii="Times New Roman" w:hAnsi="Times New Roman" w:cs="Times New Roman"/>
          <w:sz w:val="28"/>
          <w:szCs w:val="28"/>
        </w:rPr>
        <w:t xml:space="preserve"> its assets to the new trust?</w:t>
      </w:r>
    </w:p>
    <w:p w14:paraId="1B9A7C72" w14:textId="77777777" w:rsidR="00DF2337" w:rsidRPr="00D57920" w:rsidRDefault="00DF2337" w:rsidP="00DF2337">
      <w:pPr>
        <w:pStyle w:val="ListParagraph"/>
        <w:numPr>
          <w:ilvl w:val="2"/>
          <w:numId w:val="1"/>
        </w:numPr>
        <w:rPr>
          <w:rFonts w:ascii="Times New Roman" w:hAnsi="Times New Roman" w:cs="Times New Roman"/>
          <w:sz w:val="28"/>
          <w:szCs w:val="28"/>
        </w:rPr>
      </w:pPr>
      <w:r w:rsidRPr="00D57920">
        <w:rPr>
          <w:rFonts w:ascii="Times New Roman" w:hAnsi="Times New Roman" w:cs="Times New Roman"/>
          <w:sz w:val="28"/>
          <w:szCs w:val="28"/>
        </w:rPr>
        <w:t>If the answer to question 1 is “no”, should either 75% or 100% of the assets of the new trust be returned to the 1983 trust?</w:t>
      </w:r>
    </w:p>
    <w:p w14:paraId="10A4EFB8" w14:textId="77777777" w:rsidR="00DF2337" w:rsidRPr="00D57920" w:rsidRDefault="00DF2337" w:rsidP="00DF2337">
      <w:pPr>
        <w:pStyle w:val="ListParagraph"/>
        <w:numPr>
          <w:ilvl w:val="2"/>
          <w:numId w:val="1"/>
        </w:numPr>
        <w:rPr>
          <w:rFonts w:ascii="Times New Roman" w:hAnsi="Times New Roman" w:cs="Times New Roman"/>
          <w:sz w:val="28"/>
          <w:szCs w:val="28"/>
        </w:rPr>
      </w:pPr>
      <w:r w:rsidRPr="00D57920">
        <w:rPr>
          <w:rFonts w:ascii="Times New Roman" w:hAnsi="Times New Roman" w:cs="Times New Roman"/>
          <w:sz w:val="28"/>
          <w:szCs w:val="28"/>
        </w:rPr>
        <w:t>Under Massachusetts law, should a court, in interpreting whether the old trust’s settlor intended to permit decanting to another trust, consider an affidavit of the settlor?</w:t>
      </w:r>
    </w:p>
    <w:p w14:paraId="228D1234" w14:textId="77777777" w:rsidR="00DF2337" w:rsidRPr="00D57920" w:rsidRDefault="00DF2337" w:rsidP="00DF2337">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The </w:t>
      </w:r>
      <w:proofErr w:type="spellStart"/>
      <w:r w:rsidRPr="00D57920">
        <w:rPr>
          <w:rFonts w:ascii="Times New Roman" w:hAnsi="Times New Roman" w:cs="Times New Roman"/>
          <w:sz w:val="28"/>
          <w:szCs w:val="28"/>
        </w:rPr>
        <w:t>Ferri</w:t>
      </w:r>
      <w:proofErr w:type="spellEnd"/>
      <w:r w:rsidRPr="00D57920">
        <w:rPr>
          <w:rFonts w:ascii="Times New Roman" w:hAnsi="Times New Roman" w:cs="Times New Roman"/>
          <w:sz w:val="28"/>
          <w:szCs w:val="28"/>
        </w:rPr>
        <w:t xml:space="preserve"> court noted that in Kraft, the court relied on specific trust language, even thought that language did not specifically authorize decanting</w:t>
      </w:r>
    </w:p>
    <w:p w14:paraId="19001CC0" w14:textId="77777777" w:rsidR="00DF2337" w:rsidRPr="00D57920" w:rsidRDefault="00DF2337" w:rsidP="00DF2337">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The </w:t>
      </w:r>
      <w:proofErr w:type="spellStart"/>
      <w:r w:rsidRPr="00D57920">
        <w:rPr>
          <w:rFonts w:ascii="Times New Roman" w:hAnsi="Times New Roman" w:cs="Times New Roman"/>
          <w:sz w:val="28"/>
          <w:szCs w:val="28"/>
        </w:rPr>
        <w:t>Ferri</w:t>
      </w:r>
      <w:proofErr w:type="spellEnd"/>
      <w:r w:rsidRPr="00D57920">
        <w:rPr>
          <w:rFonts w:ascii="Times New Roman" w:hAnsi="Times New Roman" w:cs="Times New Roman"/>
          <w:sz w:val="28"/>
          <w:szCs w:val="28"/>
        </w:rPr>
        <w:t xml:space="preserve"> court confirmed that use of the word “decanting” is not necessary </w:t>
      </w:r>
      <w:proofErr w:type="gramStart"/>
      <w:r w:rsidRPr="00D57920">
        <w:rPr>
          <w:rFonts w:ascii="Times New Roman" w:hAnsi="Times New Roman" w:cs="Times New Roman"/>
          <w:sz w:val="28"/>
          <w:szCs w:val="28"/>
        </w:rPr>
        <w:t>in order for</w:t>
      </w:r>
      <w:proofErr w:type="gramEnd"/>
      <w:r w:rsidRPr="00D57920">
        <w:rPr>
          <w:rFonts w:ascii="Times New Roman" w:hAnsi="Times New Roman" w:cs="Times New Roman"/>
          <w:sz w:val="28"/>
          <w:szCs w:val="28"/>
        </w:rPr>
        <w:t xml:space="preserve"> a court to conclude that a trust authorizes a trustee to decant</w:t>
      </w:r>
    </w:p>
    <w:p w14:paraId="345BACA5" w14:textId="77777777" w:rsidR="00DF2337" w:rsidRPr="00D57920" w:rsidRDefault="00DF2337" w:rsidP="00DF2337">
      <w:pPr>
        <w:pStyle w:val="ListParagraph"/>
        <w:numPr>
          <w:ilvl w:val="2"/>
          <w:numId w:val="1"/>
        </w:numPr>
        <w:rPr>
          <w:rFonts w:ascii="Times New Roman" w:hAnsi="Times New Roman" w:cs="Times New Roman"/>
          <w:sz w:val="28"/>
          <w:szCs w:val="28"/>
        </w:rPr>
      </w:pPr>
      <w:r w:rsidRPr="00D57920">
        <w:rPr>
          <w:rFonts w:ascii="Times New Roman" w:hAnsi="Times New Roman" w:cs="Times New Roman"/>
          <w:sz w:val="28"/>
          <w:szCs w:val="28"/>
        </w:rPr>
        <w:lastRenderedPageBreak/>
        <w:t>“a trustee’s broad discretion to distribute the assets of an irrevocable trust may be evidence of a settlor’s intent to permit decanting”</w:t>
      </w:r>
    </w:p>
    <w:p w14:paraId="3BFB06F1" w14:textId="77777777" w:rsidR="00DF2337" w:rsidRPr="00D57920" w:rsidRDefault="00DF2337" w:rsidP="00DF2337">
      <w:pPr>
        <w:pStyle w:val="ListParagraph"/>
        <w:numPr>
          <w:ilvl w:val="2"/>
          <w:numId w:val="1"/>
        </w:numPr>
        <w:rPr>
          <w:rFonts w:ascii="Times New Roman" w:hAnsi="Times New Roman" w:cs="Times New Roman"/>
          <w:sz w:val="28"/>
          <w:szCs w:val="28"/>
        </w:rPr>
      </w:pPr>
      <w:r w:rsidRPr="00D57920">
        <w:rPr>
          <w:rFonts w:ascii="Times New Roman" w:hAnsi="Times New Roman" w:cs="Times New Roman"/>
          <w:sz w:val="28"/>
          <w:szCs w:val="28"/>
        </w:rPr>
        <w:t>The phrase, “for the benefit of” is also evidence of a settlor’s intent to permit decanting</w:t>
      </w:r>
    </w:p>
    <w:p w14:paraId="28460C97" w14:textId="77777777" w:rsidR="00110517" w:rsidRPr="00D57920" w:rsidRDefault="00110517" w:rsidP="00110517">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The Divorce Issues:</w:t>
      </w:r>
    </w:p>
    <w:p w14:paraId="225DC9CF" w14:textId="77777777" w:rsidR="00110517" w:rsidRPr="00D57920" w:rsidRDefault="00110517" w:rsidP="00110517">
      <w:pPr>
        <w:pStyle w:val="ListParagraph"/>
        <w:numPr>
          <w:ilvl w:val="2"/>
          <w:numId w:val="1"/>
        </w:numPr>
        <w:rPr>
          <w:rFonts w:ascii="Times New Roman" w:hAnsi="Times New Roman" w:cs="Times New Roman"/>
          <w:sz w:val="28"/>
          <w:szCs w:val="28"/>
        </w:rPr>
      </w:pPr>
      <w:r w:rsidRPr="00D57920">
        <w:rPr>
          <w:rFonts w:ascii="Times New Roman" w:hAnsi="Times New Roman" w:cs="Times New Roman"/>
          <w:sz w:val="28"/>
          <w:szCs w:val="28"/>
        </w:rPr>
        <w:t>The fact that Paul had a right to withdraw 75% of the trust property at the time of the decanting did not seem to matter.</w:t>
      </w:r>
    </w:p>
    <w:p w14:paraId="0313D296" w14:textId="77777777" w:rsidR="00110517" w:rsidRPr="00D57920" w:rsidRDefault="00110517" w:rsidP="00D57920">
      <w:pPr>
        <w:pStyle w:val="ListParagraph"/>
        <w:numPr>
          <w:ilvl w:val="2"/>
          <w:numId w:val="1"/>
        </w:numPr>
        <w:spacing w:after="480"/>
        <w:ind w:left="2174" w:hanging="187"/>
        <w:contextualSpacing w:val="0"/>
        <w:rPr>
          <w:rFonts w:ascii="Times New Roman" w:hAnsi="Times New Roman" w:cs="Times New Roman"/>
          <w:sz w:val="28"/>
          <w:szCs w:val="28"/>
        </w:rPr>
      </w:pPr>
      <w:r w:rsidRPr="00D57920">
        <w:rPr>
          <w:rFonts w:ascii="Times New Roman" w:hAnsi="Times New Roman" w:cs="Times New Roman"/>
          <w:sz w:val="28"/>
          <w:szCs w:val="28"/>
        </w:rPr>
        <w:t xml:space="preserve">Instead, the court seemed to favor the trustee’s ongoing duty to protect and preserve the trust assets for the beneficiary – this duty continued </w:t>
      </w:r>
      <w:proofErr w:type="gramStart"/>
      <w:r w:rsidRPr="00D57920">
        <w:rPr>
          <w:rFonts w:ascii="Times New Roman" w:hAnsi="Times New Roman" w:cs="Times New Roman"/>
          <w:sz w:val="28"/>
          <w:szCs w:val="28"/>
        </w:rPr>
        <w:t>as long as</w:t>
      </w:r>
      <w:proofErr w:type="gramEnd"/>
      <w:r w:rsidRPr="00D57920">
        <w:rPr>
          <w:rFonts w:ascii="Times New Roman" w:hAnsi="Times New Roman" w:cs="Times New Roman"/>
          <w:sz w:val="28"/>
          <w:szCs w:val="28"/>
        </w:rPr>
        <w:t xml:space="preserve"> they held title to the property</w:t>
      </w:r>
    </w:p>
    <w:p w14:paraId="2A826370" w14:textId="77777777" w:rsidR="00110517" w:rsidRPr="00D57920" w:rsidRDefault="00110517" w:rsidP="00110517">
      <w:pPr>
        <w:pStyle w:val="ListParagraph"/>
        <w:numPr>
          <w:ilvl w:val="0"/>
          <w:numId w:val="1"/>
        </w:numPr>
        <w:rPr>
          <w:rFonts w:ascii="Times New Roman" w:hAnsi="Times New Roman" w:cs="Times New Roman"/>
          <w:sz w:val="28"/>
          <w:szCs w:val="28"/>
        </w:rPr>
      </w:pPr>
      <w:r w:rsidRPr="00D57920">
        <w:rPr>
          <w:rFonts w:ascii="Times New Roman" w:hAnsi="Times New Roman" w:cs="Times New Roman"/>
          <w:sz w:val="28"/>
          <w:szCs w:val="28"/>
        </w:rPr>
        <w:t>Does a trustee have a duty to decant in similar situations?</w:t>
      </w:r>
    </w:p>
    <w:p w14:paraId="672D9A33" w14:textId="77777777" w:rsidR="00110517" w:rsidRPr="00D57920" w:rsidRDefault="00110517" w:rsidP="00D57920">
      <w:pPr>
        <w:pStyle w:val="ListParagraph"/>
        <w:numPr>
          <w:ilvl w:val="1"/>
          <w:numId w:val="1"/>
        </w:numPr>
        <w:spacing w:after="480"/>
        <w:contextualSpacing w:val="0"/>
        <w:rPr>
          <w:rFonts w:ascii="Times New Roman" w:hAnsi="Times New Roman" w:cs="Times New Roman"/>
          <w:sz w:val="28"/>
          <w:szCs w:val="28"/>
        </w:rPr>
      </w:pPr>
      <w:r w:rsidRPr="00D57920">
        <w:rPr>
          <w:rFonts w:ascii="Times New Roman" w:hAnsi="Times New Roman" w:cs="Times New Roman"/>
          <w:sz w:val="28"/>
          <w:szCs w:val="28"/>
        </w:rPr>
        <w:t xml:space="preserve">Yes, according to the </w:t>
      </w:r>
      <w:proofErr w:type="spellStart"/>
      <w:r w:rsidRPr="00D57920">
        <w:rPr>
          <w:rFonts w:ascii="Times New Roman" w:hAnsi="Times New Roman" w:cs="Times New Roman"/>
          <w:sz w:val="28"/>
          <w:szCs w:val="28"/>
        </w:rPr>
        <w:t>Ferri</w:t>
      </w:r>
      <w:proofErr w:type="spellEnd"/>
      <w:r w:rsidRPr="00D57920">
        <w:rPr>
          <w:rFonts w:ascii="Times New Roman" w:hAnsi="Times New Roman" w:cs="Times New Roman"/>
          <w:sz w:val="28"/>
          <w:szCs w:val="28"/>
        </w:rPr>
        <w:t xml:space="preserve"> </w:t>
      </w:r>
      <w:proofErr w:type="gramStart"/>
      <w:r w:rsidRPr="00D57920">
        <w:rPr>
          <w:rFonts w:ascii="Times New Roman" w:hAnsi="Times New Roman" w:cs="Times New Roman"/>
          <w:sz w:val="28"/>
          <w:szCs w:val="28"/>
        </w:rPr>
        <w:t>case, if</w:t>
      </w:r>
      <w:proofErr w:type="gramEnd"/>
      <w:r w:rsidRPr="00D57920">
        <w:rPr>
          <w:rFonts w:ascii="Times New Roman" w:hAnsi="Times New Roman" w:cs="Times New Roman"/>
          <w:sz w:val="28"/>
          <w:szCs w:val="28"/>
        </w:rPr>
        <w:t xml:space="preserve"> decanting is in the best interests of the beneficiary</w:t>
      </w:r>
    </w:p>
    <w:p w14:paraId="5B81978D" w14:textId="77777777" w:rsidR="00110517" w:rsidRPr="00D57920" w:rsidRDefault="00110517" w:rsidP="00110517">
      <w:pPr>
        <w:pStyle w:val="ListParagraph"/>
        <w:numPr>
          <w:ilvl w:val="0"/>
          <w:numId w:val="1"/>
        </w:numPr>
        <w:rPr>
          <w:rFonts w:ascii="Times New Roman" w:hAnsi="Times New Roman" w:cs="Times New Roman"/>
          <w:sz w:val="28"/>
          <w:szCs w:val="28"/>
        </w:rPr>
      </w:pPr>
      <w:r w:rsidRPr="00D57920">
        <w:rPr>
          <w:rFonts w:ascii="Times New Roman" w:hAnsi="Times New Roman" w:cs="Times New Roman"/>
          <w:sz w:val="28"/>
          <w:szCs w:val="28"/>
        </w:rPr>
        <w:t>What is the impact on Massachusetts divorces?</w:t>
      </w:r>
    </w:p>
    <w:p w14:paraId="159FF430" w14:textId="5065D073" w:rsidR="00110517" w:rsidRPr="00D57920" w:rsidRDefault="00AB2444" w:rsidP="00110517">
      <w:pPr>
        <w:pStyle w:val="ListParagraph"/>
        <w:numPr>
          <w:ilvl w:val="1"/>
          <w:numId w:val="1"/>
        </w:numPr>
        <w:rPr>
          <w:rFonts w:ascii="Times New Roman" w:hAnsi="Times New Roman" w:cs="Times New Roman"/>
          <w:sz w:val="28"/>
          <w:szCs w:val="28"/>
        </w:rPr>
      </w:pPr>
      <w:r>
        <w:rPr>
          <w:rFonts w:ascii="Times New Roman" w:hAnsi="Times New Roman" w:cs="Times New Roman"/>
          <w:sz w:val="28"/>
          <w:szCs w:val="28"/>
        </w:rPr>
        <w:t xml:space="preserve">The late </w:t>
      </w:r>
      <w:r w:rsidR="00110517" w:rsidRPr="00D57920">
        <w:rPr>
          <w:rFonts w:ascii="Times New Roman" w:hAnsi="Times New Roman" w:cs="Times New Roman"/>
          <w:sz w:val="28"/>
          <w:szCs w:val="28"/>
        </w:rPr>
        <w:t xml:space="preserve">Judge Gants, in a concurring opinion in </w:t>
      </w:r>
      <w:proofErr w:type="spellStart"/>
      <w:r w:rsidR="00110517" w:rsidRPr="00D57920">
        <w:rPr>
          <w:rFonts w:ascii="Times New Roman" w:hAnsi="Times New Roman" w:cs="Times New Roman"/>
          <w:sz w:val="28"/>
          <w:szCs w:val="28"/>
        </w:rPr>
        <w:t>Ferri</w:t>
      </w:r>
      <w:proofErr w:type="spellEnd"/>
      <w:r w:rsidR="00110517" w:rsidRPr="00D57920">
        <w:rPr>
          <w:rFonts w:ascii="Times New Roman" w:hAnsi="Times New Roman" w:cs="Times New Roman"/>
          <w:sz w:val="28"/>
          <w:szCs w:val="28"/>
        </w:rPr>
        <w:t xml:space="preserve"> stated that the court had not decided “whether Massachusetts law will permit trustees in Massachusetts to create a new spendthrift trust and decant to it all the assets from an existing non-spendthrift trust where the sole purpose of the transfer is to remove the trust’s assets from the marital assets that might be distributed to the beneficiary’s spouse in a divorce action.”</w:t>
      </w:r>
    </w:p>
    <w:p w14:paraId="3467817F" w14:textId="77777777" w:rsidR="00411B9A" w:rsidRPr="00D57920" w:rsidRDefault="00411B9A" w:rsidP="00110517">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Was the creation of the new trust in </w:t>
      </w:r>
      <w:proofErr w:type="spellStart"/>
      <w:r w:rsidRPr="00D57920">
        <w:rPr>
          <w:rFonts w:ascii="Times New Roman" w:hAnsi="Times New Roman" w:cs="Times New Roman"/>
          <w:sz w:val="28"/>
          <w:szCs w:val="28"/>
        </w:rPr>
        <w:t>Ferri</w:t>
      </w:r>
      <w:proofErr w:type="spellEnd"/>
      <w:r w:rsidRPr="00D57920">
        <w:rPr>
          <w:rFonts w:ascii="Times New Roman" w:hAnsi="Times New Roman" w:cs="Times New Roman"/>
          <w:sz w:val="28"/>
          <w:szCs w:val="28"/>
        </w:rPr>
        <w:t xml:space="preserve"> in contravention of public policy?</w:t>
      </w:r>
    </w:p>
    <w:p w14:paraId="01DFB77D" w14:textId="77777777" w:rsidR="00411B9A" w:rsidRPr="00D57920" w:rsidRDefault="00411B9A" w:rsidP="00411B9A">
      <w:pPr>
        <w:pStyle w:val="ListParagraph"/>
        <w:numPr>
          <w:ilvl w:val="2"/>
          <w:numId w:val="1"/>
        </w:numPr>
        <w:rPr>
          <w:rFonts w:ascii="Times New Roman" w:hAnsi="Times New Roman" w:cs="Times New Roman"/>
          <w:sz w:val="28"/>
          <w:szCs w:val="28"/>
        </w:rPr>
      </w:pPr>
      <w:r w:rsidRPr="00D57920">
        <w:rPr>
          <w:rFonts w:ascii="Times New Roman" w:hAnsi="Times New Roman" w:cs="Times New Roman"/>
          <w:sz w:val="28"/>
          <w:szCs w:val="28"/>
        </w:rPr>
        <w:t>If so, it might violate the terms of the UTC which state that a trust may only be crated for lawful purposes not contrary to public policy</w:t>
      </w:r>
    </w:p>
    <w:p w14:paraId="7E8EDB6C" w14:textId="77777777" w:rsidR="00411B9A" w:rsidRPr="00D57920" w:rsidRDefault="00411B9A" w:rsidP="00411B9A">
      <w:pPr>
        <w:pStyle w:val="ListParagraph"/>
        <w:numPr>
          <w:ilvl w:val="1"/>
          <w:numId w:val="1"/>
        </w:numPr>
        <w:rPr>
          <w:rFonts w:ascii="Times New Roman" w:hAnsi="Times New Roman" w:cs="Times New Roman"/>
          <w:sz w:val="28"/>
          <w:szCs w:val="28"/>
        </w:rPr>
      </w:pPr>
      <w:r w:rsidRPr="00D57920">
        <w:rPr>
          <w:rFonts w:ascii="Times New Roman" w:hAnsi="Times New Roman" w:cs="Times New Roman"/>
          <w:sz w:val="28"/>
          <w:szCs w:val="28"/>
        </w:rPr>
        <w:t xml:space="preserve">Proposed legislation aims to address the issues in </w:t>
      </w:r>
      <w:proofErr w:type="spellStart"/>
      <w:r w:rsidRPr="00D57920">
        <w:rPr>
          <w:rFonts w:ascii="Times New Roman" w:hAnsi="Times New Roman" w:cs="Times New Roman"/>
          <w:sz w:val="28"/>
          <w:szCs w:val="28"/>
        </w:rPr>
        <w:t>Ferri</w:t>
      </w:r>
      <w:proofErr w:type="spellEnd"/>
    </w:p>
    <w:p w14:paraId="4984B419" w14:textId="77777777" w:rsidR="00411B9A" w:rsidRPr="00D57920" w:rsidRDefault="00411B9A" w:rsidP="00411B9A">
      <w:pPr>
        <w:pStyle w:val="ListParagraph"/>
        <w:numPr>
          <w:ilvl w:val="2"/>
          <w:numId w:val="1"/>
        </w:numPr>
        <w:rPr>
          <w:rFonts w:ascii="Times New Roman" w:hAnsi="Times New Roman" w:cs="Times New Roman"/>
          <w:sz w:val="28"/>
          <w:szCs w:val="28"/>
        </w:rPr>
      </w:pPr>
      <w:r w:rsidRPr="00D57920">
        <w:rPr>
          <w:rFonts w:ascii="Times New Roman" w:hAnsi="Times New Roman" w:cs="Times New Roman"/>
          <w:sz w:val="28"/>
          <w:szCs w:val="28"/>
        </w:rPr>
        <w:t>Section 911 of the proposed statute provides that a new trust cannot reduce or eliminate a “vested interest” (which includes a current and noncontingent right to withdraw property)</w:t>
      </w:r>
    </w:p>
    <w:p w14:paraId="60B0EA58" w14:textId="522C5834" w:rsidR="00D16EEE" w:rsidRDefault="00D16EEE" w:rsidP="00D16EEE">
      <w:pPr>
        <w:jc w:val="center"/>
        <w:rPr>
          <w:rFonts w:ascii="Times New Roman" w:hAnsi="Times New Roman" w:cs="Times New Roman"/>
          <w:bCs/>
          <w:sz w:val="28"/>
          <w:szCs w:val="28"/>
        </w:rPr>
      </w:pPr>
      <w:r w:rsidRPr="00D16EEE">
        <w:rPr>
          <w:rFonts w:ascii="Times New Roman" w:hAnsi="Times New Roman" w:cs="Times New Roman"/>
          <w:b/>
          <w:sz w:val="28"/>
          <w:szCs w:val="28"/>
          <w:u w:val="single"/>
        </w:rPr>
        <w:lastRenderedPageBreak/>
        <w:t>PLANNING IN CONTEMPLATION OF DIVORCE</w:t>
      </w:r>
    </w:p>
    <w:p w14:paraId="0A40ABDE" w14:textId="40B31D1C" w:rsidR="00D16EEE" w:rsidRDefault="00D16EEE" w:rsidP="00D16EEE">
      <w:pPr>
        <w:jc w:val="center"/>
        <w:rPr>
          <w:rFonts w:ascii="Times New Roman" w:hAnsi="Times New Roman" w:cs="Times New Roman"/>
          <w:bCs/>
          <w:sz w:val="28"/>
          <w:szCs w:val="28"/>
        </w:rPr>
      </w:pPr>
      <w:r>
        <w:rPr>
          <w:rFonts w:ascii="Times New Roman" w:hAnsi="Times New Roman" w:cs="Times New Roman"/>
          <w:bCs/>
          <w:sz w:val="28"/>
          <w:szCs w:val="28"/>
        </w:rPr>
        <w:t>Amiel Z. Weinstock, Esq.</w:t>
      </w:r>
    </w:p>
    <w:p w14:paraId="327087C0" w14:textId="6A71B20C" w:rsidR="00D16EEE" w:rsidRDefault="00D16EEE" w:rsidP="00D16EEE">
      <w:pPr>
        <w:jc w:val="center"/>
        <w:rPr>
          <w:rFonts w:ascii="Times New Roman" w:hAnsi="Times New Roman" w:cs="Times New Roman"/>
          <w:bCs/>
          <w:sz w:val="28"/>
          <w:szCs w:val="28"/>
        </w:rPr>
      </w:pPr>
      <w:r>
        <w:rPr>
          <w:rFonts w:ascii="Times New Roman" w:hAnsi="Times New Roman" w:cs="Times New Roman"/>
          <w:bCs/>
          <w:sz w:val="28"/>
          <w:szCs w:val="28"/>
        </w:rPr>
        <w:t>AZW Law, LLC</w:t>
      </w:r>
    </w:p>
    <w:p w14:paraId="26C875BD" w14:textId="6B154588" w:rsidR="00D16EEE" w:rsidRPr="00D16EEE" w:rsidRDefault="00F77F76" w:rsidP="00D16EEE">
      <w:pPr>
        <w:jc w:val="center"/>
        <w:rPr>
          <w:rFonts w:ascii="Times New Roman" w:hAnsi="Times New Roman" w:cs="Times New Roman"/>
          <w:bCs/>
          <w:sz w:val="28"/>
          <w:szCs w:val="28"/>
        </w:rPr>
      </w:pPr>
      <w:r>
        <w:rPr>
          <w:rFonts w:ascii="Times New Roman" w:hAnsi="Times New Roman" w:cs="Times New Roman"/>
          <w:bCs/>
          <w:sz w:val="28"/>
          <w:szCs w:val="28"/>
        </w:rPr>
        <w:t xml:space="preserve">October </w:t>
      </w:r>
      <w:r w:rsidR="00912847">
        <w:rPr>
          <w:rFonts w:ascii="Times New Roman" w:hAnsi="Times New Roman" w:cs="Times New Roman"/>
          <w:bCs/>
          <w:sz w:val="28"/>
          <w:szCs w:val="28"/>
        </w:rPr>
        <w:t>14</w:t>
      </w:r>
      <w:r w:rsidR="00D16EEE">
        <w:rPr>
          <w:rFonts w:ascii="Times New Roman" w:hAnsi="Times New Roman" w:cs="Times New Roman"/>
          <w:bCs/>
          <w:sz w:val="28"/>
          <w:szCs w:val="28"/>
        </w:rPr>
        <w:t>, 202</w:t>
      </w:r>
      <w:r w:rsidR="00912847">
        <w:rPr>
          <w:rFonts w:ascii="Times New Roman" w:hAnsi="Times New Roman" w:cs="Times New Roman"/>
          <w:bCs/>
          <w:sz w:val="28"/>
          <w:szCs w:val="28"/>
        </w:rPr>
        <w:t>1</w:t>
      </w:r>
    </w:p>
    <w:p w14:paraId="7E1B15EB" w14:textId="77777777" w:rsidR="00D16EEE" w:rsidRPr="00D16EEE" w:rsidRDefault="00D16EEE" w:rsidP="00D16EEE">
      <w:pPr>
        <w:pStyle w:val="ListParagraph"/>
        <w:numPr>
          <w:ilvl w:val="3"/>
          <w:numId w:val="1"/>
        </w:numPr>
        <w:ind w:left="360"/>
        <w:rPr>
          <w:rFonts w:ascii="Times New Roman" w:hAnsi="Times New Roman" w:cs="Times New Roman"/>
          <w:sz w:val="28"/>
          <w:szCs w:val="28"/>
        </w:rPr>
      </w:pPr>
      <w:r w:rsidRPr="00D16EEE">
        <w:rPr>
          <w:rFonts w:ascii="Times New Roman" w:hAnsi="Times New Roman" w:cs="Times New Roman"/>
          <w:sz w:val="28"/>
          <w:szCs w:val="28"/>
        </w:rPr>
        <w:t>For yourself</w:t>
      </w:r>
    </w:p>
    <w:p w14:paraId="7024E469" w14:textId="0A228767" w:rsidR="00D16EEE" w:rsidRPr="00D16EEE" w:rsidRDefault="00D16EEE" w:rsidP="00D16EEE">
      <w:pPr>
        <w:pStyle w:val="ListParagraph"/>
        <w:numPr>
          <w:ilvl w:val="6"/>
          <w:numId w:val="1"/>
        </w:numPr>
        <w:ind w:left="1080"/>
        <w:rPr>
          <w:rFonts w:ascii="Times New Roman" w:hAnsi="Times New Roman" w:cs="Times New Roman"/>
          <w:sz w:val="28"/>
          <w:szCs w:val="28"/>
        </w:rPr>
      </w:pPr>
      <w:r w:rsidRPr="00D16EEE">
        <w:rPr>
          <w:rFonts w:ascii="Times New Roman" w:hAnsi="Times New Roman" w:cs="Times New Roman"/>
          <w:sz w:val="28"/>
          <w:szCs w:val="28"/>
        </w:rPr>
        <w:t xml:space="preserve">Do a prenup if </w:t>
      </w:r>
      <w:r w:rsidR="00DE0DEF">
        <w:rPr>
          <w:rFonts w:ascii="Times New Roman" w:hAnsi="Times New Roman" w:cs="Times New Roman"/>
          <w:sz w:val="28"/>
          <w:szCs w:val="28"/>
        </w:rPr>
        <w:t xml:space="preserve">estate </w:t>
      </w:r>
      <w:r w:rsidRPr="00D16EEE">
        <w:rPr>
          <w:rFonts w:ascii="Times New Roman" w:hAnsi="Times New Roman" w:cs="Times New Roman"/>
          <w:sz w:val="28"/>
          <w:szCs w:val="28"/>
        </w:rPr>
        <w:t>planning is being done before marriage</w:t>
      </w:r>
    </w:p>
    <w:p w14:paraId="525B7CB7" w14:textId="77777777" w:rsidR="00D16EEE" w:rsidRPr="00D16EEE" w:rsidRDefault="00D16EEE" w:rsidP="00D16EEE">
      <w:pPr>
        <w:pStyle w:val="ListParagraph"/>
        <w:numPr>
          <w:ilvl w:val="7"/>
          <w:numId w:val="1"/>
        </w:numPr>
        <w:ind w:left="1440"/>
        <w:rPr>
          <w:rFonts w:ascii="Times New Roman" w:hAnsi="Times New Roman" w:cs="Times New Roman"/>
          <w:sz w:val="28"/>
          <w:szCs w:val="28"/>
        </w:rPr>
      </w:pPr>
      <w:r w:rsidRPr="00D16EEE">
        <w:rPr>
          <w:rFonts w:ascii="Times New Roman" w:hAnsi="Times New Roman" w:cs="Times New Roman"/>
          <w:sz w:val="28"/>
          <w:szCs w:val="28"/>
        </w:rPr>
        <w:t>If you know there are things you want to keep separate, say so…</w:t>
      </w:r>
    </w:p>
    <w:p w14:paraId="1ACC59F7" w14:textId="77777777" w:rsidR="00D16EEE" w:rsidRPr="00D16EEE" w:rsidRDefault="00D16EEE" w:rsidP="00D16EEE">
      <w:pPr>
        <w:pStyle w:val="ListParagraph"/>
        <w:numPr>
          <w:ilvl w:val="6"/>
          <w:numId w:val="1"/>
        </w:numPr>
        <w:ind w:left="1080"/>
        <w:rPr>
          <w:rFonts w:ascii="Times New Roman" w:hAnsi="Times New Roman" w:cs="Times New Roman"/>
          <w:sz w:val="28"/>
          <w:szCs w:val="28"/>
        </w:rPr>
      </w:pPr>
      <w:r w:rsidRPr="00D16EEE">
        <w:rPr>
          <w:rFonts w:ascii="Times New Roman" w:hAnsi="Times New Roman" w:cs="Times New Roman"/>
          <w:sz w:val="28"/>
          <w:szCs w:val="28"/>
        </w:rPr>
        <w:t>Consider a post-nuptial agreement if issues arise after marriage</w:t>
      </w:r>
    </w:p>
    <w:p w14:paraId="2CA41845" w14:textId="1CB902B4" w:rsidR="00D16EEE" w:rsidRPr="00D16EEE" w:rsidRDefault="00D16EEE" w:rsidP="00D16EEE">
      <w:pPr>
        <w:pStyle w:val="ListParagraph"/>
        <w:numPr>
          <w:ilvl w:val="6"/>
          <w:numId w:val="1"/>
        </w:numPr>
        <w:ind w:left="1080"/>
        <w:rPr>
          <w:rFonts w:ascii="Times New Roman" w:hAnsi="Times New Roman" w:cs="Times New Roman"/>
          <w:sz w:val="28"/>
          <w:szCs w:val="28"/>
        </w:rPr>
      </w:pPr>
      <w:r w:rsidRPr="00D16EEE">
        <w:rPr>
          <w:rFonts w:ascii="Times New Roman" w:hAnsi="Times New Roman" w:cs="Times New Roman"/>
          <w:sz w:val="28"/>
          <w:szCs w:val="28"/>
        </w:rPr>
        <w:t>In the absence of either a prenup or a post</w:t>
      </w:r>
      <w:r w:rsidR="00DE0DEF">
        <w:rPr>
          <w:rFonts w:ascii="Times New Roman" w:hAnsi="Times New Roman" w:cs="Times New Roman"/>
          <w:sz w:val="28"/>
          <w:szCs w:val="28"/>
        </w:rPr>
        <w:t>-</w:t>
      </w:r>
      <w:proofErr w:type="spellStart"/>
      <w:r w:rsidRPr="00D16EEE">
        <w:rPr>
          <w:rFonts w:ascii="Times New Roman" w:hAnsi="Times New Roman" w:cs="Times New Roman"/>
          <w:sz w:val="28"/>
          <w:szCs w:val="28"/>
        </w:rPr>
        <w:t>nup</w:t>
      </w:r>
      <w:r w:rsidR="00DE0DEF">
        <w:rPr>
          <w:rFonts w:ascii="Times New Roman" w:hAnsi="Times New Roman" w:cs="Times New Roman"/>
          <w:sz w:val="28"/>
          <w:szCs w:val="28"/>
        </w:rPr>
        <w:t>ial</w:t>
      </w:r>
      <w:proofErr w:type="spellEnd"/>
      <w:r w:rsidR="00DE0DEF">
        <w:rPr>
          <w:rFonts w:ascii="Times New Roman" w:hAnsi="Times New Roman" w:cs="Times New Roman"/>
          <w:sz w:val="28"/>
          <w:szCs w:val="28"/>
        </w:rPr>
        <w:t xml:space="preserve"> agreement</w:t>
      </w:r>
      <w:r w:rsidRPr="00D16EEE">
        <w:rPr>
          <w:rFonts w:ascii="Times New Roman" w:hAnsi="Times New Roman" w:cs="Times New Roman"/>
          <w:sz w:val="28"/>
          <w:szCs w:val="28"/>
        </w:rPr>
        <w:t>, the equitable division rules will apply, with some exceptions</w:t>
      </w:r>
    </w:p>
    <w:p w14:paraId="57730B73" w14:textId="77777777" w:rsidR="00D16EEE" w:rsidRPr="00D16EEE" w:rsidRDefault="00D16EEE" w:rsidP="00D16EEE">
      <w:pPr>
        <w:pStyle w:val="ListParagraph"/>
        <w:numPr>
          <w:ilvl w:val="6"/>
          <w:numId w:val="1"/>
        </w:numPr>
        <w:ind w:left="1080"/>
        <w:rPr>
          <w:rFonts w:ascii="Times New Roman" w:hAnsi="Times New Roman" w:cs="Times New Roman"/>
          <w:sz w:val="28"/>
          <w:szCs w:val="28"/>
        </w:rPr>
      </w:pPr>
      <w:r w:rsidRPr="00D16EEE">
        <w:rPr>
          <w:rFonts w:ascii="Times New Roman" w:hAnsi="Times New Roman" w:cs="Times New Roman"/>
          <w:sz w:val="28"/>
          <w:szCs w:val="28"/>
        </w:rPr>
        <w:t>make sure you change the beneficiary designations on your life insurance policies and your retirement plans as soon as you are permitted to do so.</w:t>
      </w:r>
    </w:p>
    <w:p w14:paraId="738B21F3" w14:textId="77777777" w:rsidR="00D16EEE" w:rsidRPr="00D16EEE" w:rsidRDefault="00D16EEE" w:rsidP="00D16EEE">
      <w:pPr>
        <w:pStyle w:val="ListParagraph"/>
        <w:numPr>
          <w:ilvl w:val="7"/>
          <w:numId w:val="1"/>
        </w:numPr>
        <w:ind w:left="1440"/>
        <w:rPr>
          <w:rFonts w:ascii="Times New Roman" w:hAnsi="Times New Roman" w:cs="Times New Roman"/>
          <w:sz w:val="28"/>
          <w:szCs w:val="28"/>
        </w:rPr>
      </w:pPr>
      <w:r w:rsidRPr="00D16EEE">
        <w:rPr>
          <w:rFonts w:ascii="Times New Roman" w:hAnsi="Times New Roman" w:cs="Times New Roman"/>
          <w:sz w:val="28"/>
          <w:szCs w:val="28"/>
        </w:rPr>
        <w:t>Mass. Uniform Probate Code §2-804 – Revocation on Divorce Statute</w:t>
      </w:r>
    </w:p>
    <w:p w14:paraId="3BA26C0D" w14:textId="77777777" w:rsidR="00D16EEE" w:rsidRPr="00D16EEE" w:rsidRDefault="00D16EEE" w:rsidP="00D16EEE">
      <w:pPr>
        <w:pStyle w:val="ListParagraph"/>
        <w:numPr>
          <w:ilvl w:val="8"/>
          <w:numId w:val="1"/>
        </w:numPr>
        <w:ind w:left="1710"/>
        <w:rPr>
          <w:rFonts w:ascii="Times New Roman" w:hAnsi="Times New Roman" w:cs="Times New Roman"/>
          <w:sz w:val="28"/>
          <w:szCs w:val="28"/>
        </w:rPr>
      </w:pPr>
      <w:r w:rsidRPr="00D16EEE">
        <w:rPr>
          <w:rFonts w:ascii="Times New Roman" w:hAnsi="Times New Roman" w:cs="Times New Roman"/>
          <w:sz w:val="28"/>
          <w:szCs w:val="28"/>
        </w:rPr>
        <w:t>purportedly applies to life insurance (as well as other non-probate transfers)</w:t>
      </w:r>
    </w:p>
    <w:p w14:paraId="61180377" w14:textId="77777777" w:rsidR="00D16EEE" w:rsidRPr="00D16EEE" w:rsidRDefault="00D16EEE" w:rsidP="00D16EEE">
      <w:pPr>
        <w:pStyle w:val="ListParagraph"/>
        <w:numPr>
          <w:ilvl w:val="8"/>
          <w:numId w:val="1"/>
        </w:numPr>
        <w:ind w:left="1710"/>
        <w:rPr>
          <w:rFonts w:ascii="Times New Roman" w:hAnsi="Times New Roman" w:cs="Times New Roman"/>
          <w:sz w:val="28"/>
          <w:szCs w:val="28"/>
        </w:rPr>
      </w:pPr>
      <w:r w:rsidRPr="00D16EEE">
        <w:rPr>
          <w:rFonts w:ascii="Times New Roman" w:hAnsi="Times New Roman" w:cs="Times New Roman"/>
          <w:sz w:val="28"/>
          <w:szCs w:val="28"/>
        </w:rPr>
        <w:t xml:space="preserve">be careful anyway – see the recent Federal case out of the 8th Circuit:  </w:t>
      </w:r>
      <w:r w:rsidRPr="00D16EEE">
        <w:rPr>
          <w:rFonts w:ascii="Times New Roman" w:hAnsi="Times New Roman" w:cs="Times New Roman"/>
          <w:sz w:val="28"/>
          <w:szCs w:val="28"/>
          <w:u w:val="single"/>
        </w:rPr>
        <w:t xml:space="preserve">Metropolitan Life v. </w:t>
      </w:r>
      <w:proofErr w:type="spellStart"/>
      <w:r w:rsidRPr="00D16EEE">
        <w:rPr>
          <w:rFonts w:ascii="Times New Roman" w:hAnsi="Times New Roman" w:cs="Times New Roman"/>
          <w:sz w:val="28"/>
          <w:szCs w:val="28"/>
          <w:u w:val="single"/>
        </w:rPr>
        <w:t>Melin</w:t>
      </w:r>
      <w:proofErr w:type="spellEnd"/>
      <w:r w:rsidRPr="00D16EEE">
        <w:rPr>
          <w:rFonts w:ascii="Times New Roman" w:hAnsi="Times New Roman" w:cs="Times New Roman"/>
          <w:sz w:val="28"/>
          <w:szCs w:val="28"/>
        </w:rPr>
        <w:t xml:space="preserve"> (2017)</w:t>
      </w:r>
    </w:p>
    <w:p w14:paraId="7149D6C7" w14:textId="77777777" w:rsidR="00D16EEE" w:rsidRPr="00D16EEE" w:rsidRDefault="00D16EEE" w:rsidP="00D16EEE">
      <w:pPr>
        <w:pStyle w:val="ListParagraph"/>
        <w:numPr>
          <w:ilvl w:val="0"/>
          <w:numId w:val="2"/>
        </w:numPr>
        <w:ind w:left="1980"/>
        <w:rPr>
          <w:rFonts w:ascii="Times New Roman" w:hAnsi="Times New Roman" w:cs="Times New Roman"/>
          <w:sz w:val="28"/>
          <w:szCs w:val="28"/>
        </w:rPr>
      </w:pPr>
      <w:r w:rsidRPr="00D16EEE">
        <w:rPr>
          <w:rFonts w:ascii="Times New Roman" w:hAnsi="Times New Roman" w:cs="Times New Roman"/>
          <w:sz w:val="28"/>
          <w:szCs w:val="28"/>
        </w:rPr>
        <w:t>in this case the decedent purchased a policy and named his then wife as the policy beneficiary; this was done prior to the enactment of Minnesota’s UPC (which included the more expansive revocation on divorce statute); subsequent to the beneficiary designation and prior to decedent’s death, the new statute was enacted; notwithstanding the fact that at the time of the decedent’s death the new statute was in place, the court held for the ex-wife (as opposed to decedent’s biological children from a prior marriage)</w:t>
      </w:r>
    </w:p>
    <w:p w14:paraId="70C098B2" w14:textId="6DE5F74A" w:rsidR="00D16EEE" w:rsidRPr="00D16EEE" w:rsidRDefault="00D16EEE" w:rsidP="00D16EEE">
      <w:pPr>
        <w:pStyle w:val="ListParagraph"/>
        <w:numPr>
          <w:ilvl w:val="0"/>
          <w:numId w:val="2"/>
        </w:numPr>
        <w:ind w:left="1980"/>
        <w:rPr>
          <w:rFonts w:ascii="Times New Roman" w:hAnsi="Times New Roman" w:cs="Times New Roman"/>
          <w:sz w:val="28"/>
          <w:szCs w:val="28"/>
        </w:rPr>
      </w:pPr>
      <w:r w:rsidRPr="00D16EEE">
        <w:rPr>
          <w:rFonts w:ascii="Times New Roman" w:hAnsi="Times New Roman" w:cs="Times New Roman"/>
          <w:sz w:val="28"/>
          <w:szCs w:val="28"/>
        </w:rPr>
        <w:t xml:space="preserve">most of the discussion and commentary is based on constitutional law and the application of the contracts clause, but for our purposes, the bottom line take-away is that if a divorcing spouse has a policy that was issued prior to the enactment of the MUPC (March 31, 2012), make sure to advise them to change the </w:t>
      </w:r>
      <w:r w:rsidRPr="00D16EEE">
        <w:rPr>
          <w:rFonts w:ascii="Times New Roman" w:hAnsi="Times New Roman" w:cs="Times New Roman"/>
          <w:sz w:val="28"/>
          <w:szCs w:val="28"/>
        </w:rPr>
        <w:lastRenderedPageBreak/>
        <w:t xml:space="preserve">beneficiary </w:t>
      </w:r>
      <w:r w:rsidRPr="00D16EEE">
        <w:rPr>
          <w:sz w:val="28"/>
          <w:szCs w:val="28"/>
        </w:rPr>
        <w:sym w:font="Wingdings" w:char="F0E0"/>
      </w:r>
      <w:r w:rsidRPr="00D16EEE">
        <w:rPr>
          <w:rFonts w:ascii="Times New Roman" w:hAnsi="Times New Roman" w:cs="Times New Roman"/>
          <w:sz w:val="28"/>
          <w:szCs w:val="28"/>
        </w:rPr>
        <w:t xml:space="preserve"> don’t rely on the existence of §2-804 to eliminate the former spouse as a beneficiary</w:t>
      </w:r>
    </w:p>
    <w:p w14:paraId="27AEE70B" w14:textId="5FEAEA53" w:rsidR="00D16EEE" w:rsidRPr="00D16EEE" w:rsidRDefault="00D16EEE" w:rsidP="00D16EEE">
      <w:pPr>
        <w:rPr>
          <w:rFonts w:ascii="Times New Roman" w:hAnsi="Times New Roman" w:cs="Times New Roman"/>
          <w:sz w:val="28"/>
          <w:szCs w:val="28"/>
        </w:rPr>
      </w:pPr>
      <w:r w:rsidRPr="00D16EEE">
        <w:rPr>
          <w:rFonts w:ascii="Times New Roman" w:hAnsi="Times New Roman" w:cs="Times New Roman"/>
          <w:sz w:val="28"/>
          <w:szCs w:val="28"/>
        </w:rPr>
        <w:tab/>
      </w:r>
      <w:r>
        <w:rPr>
          <w:rFonts w:ascii="Times New Roman" w:hAnsi="Times New Roman" w:cs="Times New Roman"/>
          <w:sz w:val="28"/>
          <w:szCs w:val="28"/>
        </w:rPr>
        <w:t>5</w:t>
      </w:r>
      <w:r w:rsidRPr="00D16EEE">
        <w:rPr>
          <w:rFonts w:ascii="Times New Roman" w:hAnsi="Times New Roman" w:cs="Times New Roman"/>
          <w:sz w:val="28"/>
          <w:szCs w:val="28"/>
        </w:rPr>
        <w:t>.  §1041: transfers incident to divorce are generally not taxable (treated like gifts)</w:t>
      </w:r>
    </w:p>
    <w:p w14:paraId="7BE24691" w14:textId="77777777" w:rsidR="00D16EEE" w:rsidRPr="00D16EEE" w:rsidRDefault="00D16EEE" w:rsidP="00D16EEE">
      <w:pPr>
        <w:rPr>
          <w:rFonts w:ascii="Times New Roman" w:hAnsi="Times New Roman" w:cs="Times New Roman"/>
          <w:sz w:val="28"/>
          <w:szCs w:val="28"/>
        </w:rPr>
      </w:pPr>
    </w:p>
    <w:p w14:paraId="32BA2402" w14:textId="77777777" w:rsidR="00D16EEE" w:rsidRPr="00D16EEE" w:rsidRDefault="00D16EEE" w:rsidP="00D16EEE">
      <w:pPr>
        <w:ind w:left="360" w:hanging="360"/>
        <w:rPr>
          <w:rFonts w:ascii="Times New Roman" w:hAnsi="Times New Roman" w:cs="Times New Roman"/>
          <w:sz w:val="28"/>
          <w:szCs w:val="28"/>
        </w:rPr>
      </w:pPr>
      <w:r w:rsidRPr="00D16EEE">
        <w:rPr>
          <w:rFonts w:ascii="Times New Roman" w:hAnsi="Times New Roman" w:cs="Times New Roman"/>
          <w:sz w:val="28"/>
          <w:szCs w:val="28"/>
        </w:rPr>
        <w:t>B.  For your children and grandchildren</w:t>
      </w:r>
    </w:p>
    <w:p w14:paraId="2A0439F8" w14:textId="77777777" w:rsidR="00D16EEE" w:rsidRPr="00D16EEE" w:rsidRDefault="00D16EEE" w:rsidP="00D16EEE">
      <w:pPr>
        <w:ind w:left="1080" w:hanging="360"/>
        <w:rPr>
          <w:rFonts w:ascii="Times New Roman" w:hAnsi="Times New Roman" w:cs="Times New Roman"/>
          <w:sz w:val="28"/>
          <w:szCs w:val="28"/>
        </w:rPr>
      </w:pPr>
      <w:r w:rsidRPr="00D16EEE">
        <w:rPr>
          <w:rFonts w:ascii="Times New Roman" w:hAnsi="Times New Roman" w:cs="Times New Roman"/>
          <w:sz w:val="28"/>
          <w:szCs w:val="28"/>
        </w:rPr>
        <w:t>1.  Prenups are the best first-line of defense</w:t>
      </w:r>
    </w:p>
    <w:p w14:paraId="7F309F61" w14:textId="77777777" w:rsidR="00D16EEE" w:rsidRPr="00D16EEE" w:rsidRDefault="00D16EEE" w:rsidP="00D16EEE">
      <w:pPr>
        <w:ind w:left="1080" w:hanging="360"/>
        <w:rPr>
          <w:rFonts w:ascii="Times New Roman" w:hAnsi="Times New Roman" w:cs="Times New Roman"/>
          <w:sz w:val="28"/>
          <w:szCs w:val="28"/>
        </w:rPr>
      </w:pPr>
      <w:r w:rsidRPr="00D16EEE">
        <w:rPr>
          <w:rFonts w:ascii="Times New Roman" w:hAnsi="Times New Roman" w:cs="Times New Roman"/>
          <w:sz w:val="28"/>
          <w:szCs w:val="28"/>
        </w:rPr>
        <w:t xml:space="preserve">2.  Trusts – whether inter </w:t>
      </w:r>
      <w:proofErr w:type="spellStart"/>
      <w:r w:rsidRPr="00D16EEE">
        <w:rPr>
          <w:rFonts w:ascii="Times New Roman" w:hAnsi="Times New Roman" w:cs="Times New Roman"/>
          <w:sz w:val="28"/>
          <w:szCs w:val="28"/>
        </w:rPr>
        <w:t>vivos</w:t>
      </w:r>
      <w:proofErr w:type="spellEnd"/>
      <w:r w:rsidRPr="00D16EEE">
        <w:rPr>
          <w:rFonts w:ascii="Times New Roman" w:hAnsi="Times New Roman" w:cs="Times New Roman"/>
          <w:sz w:val="28"/>
          <w:szCs w:val="28"/>
        </w:rPr>
        <w:t xml:space="preserve"> or testamentary</w:t>
      </w:r>
    </w:p>
    <w:p w14:paraId="075F469A" w14:textId="4F6DCF2B" w:rsidR="00D16EEE" w:rsidRPr="00D16EEE" w:rsidRDefault="00D16EEE" w:rsidP="00D16EEE">
      <w:pPr>
        <w:ind w:left="1440" w:hanging="360"/>
        <w:rPr>
          <w:rFonts w:ascii="Times New Roman" w:hAnsi="Times New Roman" w:cs="Times New Roman"/>
          <w:sz w:val="28"/>
          <w:szCs w:val="28"/>
        </w:rPr>
      </w:pPr>
      <w:r w:rsidRPr="00D16EEE">
        <w:rPr>
          <w:rFonts w:ascii="Times New Roman" w:hAnsi="Times New Roman" w:cs="Times New Roman"/>
          <w:sz w:val="28"/>
          <w:szCs w:val="28"/>
        </w:rPr>
        <w:t>a. make sure property is held in trust for bene</w:t>
      </w:r>
      <w:r w:rsidR="00F77F76">
        <w:rPr>
          <w:rFonts w:ascii="Times New Roman" w:hAnsi="Times New Roman" w:cs="Times New Roman"/>
          <w:sz w:val="28"/>
          <w:szCs w:val="28"/>
        </w:rPr>
        <w:t>ficiary</w:t>
      </w:r>
      <w:r w:rsidRPr="00D16EEE">
        <w:rPr>
          <w:rFonts w:ascii="Times New Roman" w:hAnsi="Times New Roman" w:cs="Times New Roman"/>
          <w:sz w:val="28"/>
          <w:szCs w:val="28"/>
        </w:rPr>
        <w:t>’s lifetime</w:t>
      </w:r>
    </w:p>
    <w:p w14:paraId="6D2426E2" w14:textId="376D5D6F" w:rsidR="00D16EEE" w:rsidRPr="00D16EEE" w:rsidRDefault="00D16EEE" w:rsidP="00D16EEE">
      <w:pPr>
        <w:ind w:left="1440" w:hanging="360"/>
        <w:rPr>
          <w:rFonts w:ascii="Times New Roman" w:hAnsi="Times New Roman" w:cs="Times New Roman"/>
          <w:sz w:val="28"/>
          <w:szCs w:val="28"/>
        </w:rPr>
      </w:pPr>
      <w:r w:rsidRPr="00D16EEE">
        <w:rPr>
          <w:rFonts w:ascii="Times New Roman" w:hAnsi="Times New Roman" w:cs="Times New Roman"/>
          <w:sz w:val="28"/>
          <w:szCs w:val="28"/>
        </w:rPr>
        <w:t xml:space="preserve">b. </w:t>
      </w:r>
      <w:proofErr w:type="gramStart"/>
      <w:r w:rsidRPr="00D16EEE">
        <w:rPr>
          <w:rFonts w:ascii="Times New Roman" w:hAnsi="Times New Roman" w:cs="Times New Roman"/>
          <w:sz w:val="28"/>
          <w:szCs w:val="28"/>
        </w:rPr>
        <w:t>give</w:t>
      </w:r>
      <w:proofErr w:type="gramEnd"/>
      <w:r w:rsidRPr="00D16EEE">
        <w:rPr>
          <w:rFonts w:ascii="Times New Roman" w:hAnsi="Times New Roman" w:cs="Times New Roman"/>
          <w:sz w:val="28"/>
          <w:szCs w:val="28"/>
        </w:rPr>
        <w:t xml:space="preserve"> the trustee broad discretion to distribute income and principal</w:t>
      </w:r>
      <w:r w:rsidR="00DE0DEF">
        <w:rPr>
          <w:rFonts w:ascii="Times New Roman" w:hAnsi="Times New Roman" w:cs="Times New Roman"/>
          <w:sz w:val="28"/>
          <w:szCs w:val="28"/>
        </w:rPr>
        <w:t xml:space="preserve"> – do not use ascertainable standard language which creates “fixed” interests in the property</w:t>
      </w:r>
    </w:p>
    <w:p w14:paraId="1EF49AFF" w14:textId="77777777" w:rsidR="00D16EEE" w:rsidRPr="00D16EEE" w:rsidRDefault="00D16EEE" w:rsidP="00D16EEE">
      <w:pPr>
        <w:ind w:left="1440" w:hanging="360"/>
        <w:rPr>
          <w:rFonts w:ascii="Times New Roman" w:hAnsi="Times New Roman" w:cs="Times New Roman"/>
          <w:sz w:val="28"/>
          <w:szCs w:val="28"/>
        </w:rPr>
      </w:pPr>
      <w:r w:rsidRPr="00D16EEE">
        <w:rPr>
          <w:rFonts w:ascii="Times New Roman" w:hAnsi="Times New Roman" w:cs="Times New Roman"/>
          <w:sz w:val="28"/>
          <w:szCs w:val="28"/>
        </w:rPr>
        <w:t xml:space="preserve">c. </w:t>
      </w:r>
      <w:proofErr w:type="gramStart"/>
      <w:r w:rsidRPr="00D16EEE">
        <w:rPr>
          <w:rFonts w:ascii="Times New Roman" w:hAnsi="Times New Roman" w:cs="Times New Roman"/>
          <w:sz w:val="28"/>
          <w:szCs w:val="28"/>
        </w:rPr>
        <w:t>consider</w:t>
      </w:r>
      <w:proofErr w:type="gramEnd"/>
      <w:r w:rsidRPr="00D16EEE">
        <w:rPr>
          <w:rFonts w:ascii="Times New Roman" w:hAnsi="Times New Roman" w:cs="Times New Roman"/>
          <w:sz w:val="28"/>
          <w:szCs w:val="28"/>
        </w:rPr>
        <w:t xml:space="preserve"> including a particular power to decant</w:t>
      </w:r>
    </w:p>
    <w:p w14:paraId="28EAFBE2" w14:textId="77777777" w:rsidR="00D16EEE" w:rsidRPr="00D16EEE" w:rsidRDefault="00D16EEE" w:rsidP="00D16EEE">
      <w:pPr>
        <w:ind w:left="1440" w:hanging="360"/>
        <w:rPr>
          <w:rFonts w:ascii="Times New Roman" w:hAnsi="Times New Roman" w:cs="Times New Roman"/>
          <w:sz w:val="28"/>
          <w:szCs w:val="28"/>
        </w:rPr>
      </w:pPr>
      <w:r w:rsidRPr="00D16EEE">
        <w:rPr>
          <w:rFonts w:ascii="Times New Roman" w:hAnsi="Times New Roman" w:cs="Times New Roman"/>
          <w:sz w:val="28"/>
          <w:szCs w:val="28"/>
        </w:rPr>
        <w:t xml:space="preserve">d. </w:t>
      </w:r>
      <w:proofErr w:type="gramStart"/>
      <w:r w:rsidRPr="00D16EEE">
        <w:rPr>
          <w:rFonts w:ascii="Times New Roman" w:hAnsi="Times New Roman" w:cs="Times New Roman"/>
          <w:sz w:val="28"/>
          <w:szCs w:val="28"/>
        </w:rPr>
        <w:t>avoid</w:t>
      </w:r>
      <w:proofErr w:type="gramEnd"/>
      <w:r w:rsidRPr="00D16EEE">
        <w:rPr>
          <w:rFonts w:ascii="Times New Roman" w:hAnsi="Times New Roman" w:cs="Times New Roman"/>
          <w:sz w:val="28"/>
          <w:szCs w:val="28"/>
        </w:rPr>
        <w:t xml:space="preserve"> mandatory distribution or withdrawal rights</w:t>
      </w:r>
    </w:p>
    <w:p w14:paraId="59CDDF5F" w14:textId="77777777" w:rsidR="00D16EEE" w:rsidRPr="00D16EEE" w:rsidRDefault="00D16EEE" w:rsidP="00D16EEE">
      <w:pPr>
        <w:ind w:left="1440" w:hanging="360"/>
        <w:rPr>
          <w:rFonts w:ascii="Times New Roman" w:hAnsi="Times New Roman" w:cs="Times New Roman"/>
          <w:sz w:val="28"/>
          <w:szCs w:val="28"/>
        </w:rPr>
      </w:pPr>
      <w:r w:rsidRPr="00D16EEE">
        <w:rPr>
          <w:rFonts w:ascii="Times New Roman" w:hAnsi="Times New Roman" w:cs="Times New Roman"/>
          <w:sz w:val="28"/>
          <w:szCs w:val="28"/>
        </w:rPr>
        <w:t>e. no need to name spouses of children as beneficiaries</w:t>
      </w:r>
    </w:p>
    <w:p w14:paraId="49FF2A49" w14:textId="77777777" w:rsidR="00D16EEE" w:rsidRPr="00D16EEE" w:rsidRDefault="00D16EEE" w:rsidP="00D16EEE">
      <w:pPr>
        <w:ind w:left="1080"/>
        <w:rPr>
          <w:rFonts w:ascii="Times New Roman" w:hAnsi="Times New Roman" w:cs="Times New Roman"/>
          <w:sz w:val="28"/>
          <w:szCs w:val="28"/>
        </w:rPr>
      </w:pPr>
      <w:r w:rsidRPr="00D16EEE">
        <w:rPr>
          <w:rFonts w:ascii="Times New Roman" w:hAnsi="Times New Roman" w:cs="Times New Roman"/>
          <w:sz w:val="28"/>
          <w:szCs w:val="28"/>
        </w:rPr>
        <w:t>f. make use of Crummey withdrawal rights to take advantage of spouse’s annual exclusion gift, which is better than making an outright cash gift to the daughter/son – in-law</w:t>
      </w:r>
    </w:p>
    <w:p w14:paraId="5D060623" w14:textId="77777777" w:rsidR="00D16EEE" w:rsidRPr="00D16EEE" w:rsidRDefault="00D16EEE" w:rsidP="00D16EEE">
      <w:pPr>
        <w:ind w:left="2160" w:hanging="720"/>
        <w:rPr>
          <w:rFonts w:ascii="Times New Roman" w:hAnsi="Times New Roman" w:cs="Times New Roman"/>
          <w:sz w:val="28"/>
          <w:szCs w:val="28"/>
        </w:rPr>
      </w:pPr>
      <w:r w:rsidRPr="00D16EEE">
        <w:rPr>
          <w:rFonts w:ascii="Times New Roman" w:hAnsi="Times New Roman" w:cs="Times New Roman"/>
          <w:sz w:val="28"/>
          <w:szCs w:val="28"/>
        </w:rPr>
        <w:t>i.</w:t>
      </w:r>
      <w:r w:rsidRPr="00D16EEE">
        <w:rPr>
          <w:rFonts w:ascii="Times New Roman" w:hAnsi="Times New Roman" w:cs="Times New Roman"/>
          <w:sz w:val="28"/>
          <w:szCs w:val="28"/>
        </w:rPr>
        <w:tab/>
        <w:t xml:space="preserve">query whether the child’s spouse would have to be discretionary beneficiary of the trust </w:t>
      </w:r>
      <w:proofErr w:type="gramStart"/>
      <w:r w:rsidRPr="00D16EEE">
        <w:rPr>
          <w:rFonts w:ascii="Times New Roman" w:hAnsi="Times New Roman" w:cs="Times New Roman"/>
          <w:sz w:val="28"/>
          <w:szCs w:val="28"/>
        </w:rPr>
        <w:t>in order for</w:t>
      </w:r>
      <w:proofErr w:type="gramEnd"/>
      <w:r w:rsidRPr="00D16EEE">
        <w:rPr>
          <w:rFonts w:ascii="Times New Roman" w:hAnsi="Times New Roman" w:cs="Times New Roman"/>
          <w:sz w:val="28"/>
          <w:szCs w:val="28"/>
        </w:rPr>
        <w:t xml:space="preserve"> the Crummey power to be respected?</w:t>
      </w:r>
    </w:p>
    <w:p w14:paraId="4B2661D4" w14:textId="38E3D2AF" w:rsidR="00D16EEE" w:rsidRDefault="00D16EEE" w:rsidP="00D16EEE">
      <w:pPr>
        <w:ind w:left="2160" w:hanging="720"/>
        <w:rPr>
          <w:rFonts w:ascii="Times New Roman" w:hAnsi="Times New Roman" w:cs="Times New Roman"/>
          <w:sz w:val="28"/>
          <w:szCs w:val="28"/>
        </w:rPr>
      </w:pPr>
      <w:r w:rsidRPr="00D16EEE">
        <w:rPr>
          <w:rFonts w:ascii="Times New Roman" w:hAnsi="Times New Roman" w:cs="Times New Roman"/>
          <w:sz w:val="28"/>
          <w:szCs w:val="28"/>
        </w:rPr>
        <w:t>ii.</w:t>
      </w:r>
      <w:r w:rsidRPr="00D16EEE">
        <w:rPr>
          <w:rFonts w:ascii="Times New Roman" w:hAnsi="Times New Roman" w:cs="Times New Roman"/>
          <w:sz w:val="28"/>
          <w:szCs w:val="28"/>
        </w:rPr>
        <w:tab/>
        <w:t>if you are worried about that, make sure to limit their ability to be treated as a discretionary beneficiary only so long as they are still considered the “spouse” of the child beneficiary</w:t>
      </w:r>
    </w:p>
    <w:p w14:paraId="17164FEE" w14:textId="4E051475" w:rsidR="00DF20C4" w:rsidRDefault="00DF20C4" w:rsidP="00D16EEE">
      <w:pPr>
        <w:ind w:left="2160" w:hanging="720"/>
        <w:rPr>
          <w:rFonts w:ascii="Times New Roman" w:hAnsi="Times New Roman" w:cs="Times New Roman"/>
          <w:sz w:val="28"/>
          <w:szCs w:val="28"/>
        </w:rPr>
      </w:pPr>
    </w:p>
    <w:p w14:paraId="33EEB2C8" w14:textId="77777777" w:rsidR="00DF20C4" w:rsidRPr="00D16EEE" w:rsidRDefault="00DF20C4" w:rsidP="00D16EEE">
      <w:pPr>
        <w:ind w:left="2160" w:hanging="720"/>
        <w:rPr>
          <w:rFonts w:ascii="Times New Roman" w:hAnsi="Times New Roman" w:cs="Times New Roman"/>
          <w:sz w:val="28"/>
          <w:szCs w:val="28"/>
        </w:rPr>
      </w:pPr>
    </w:p>
    <w:p w14:paraId="1A83D830" w14:textId="77777777" w:rsidR="00D16EEE" w:rsidRPr="00D16EEE" w:rsidRDefault="00D16EEE" w:rsidP="00D16EEE">
      <w:pPr>
        <w:ind w:left="1080" w:hanging="360"/>
        <w:rPr>
          <w:rFonts w:ascii="Times New Roman" w:hAnsi="Times New Roman" w:cs="Times New Roman"/>
          <w:sz w:val="28"/>
          <w:szCs w:val="28"/>
        </w:rPr>
      </w:pPr>
      <w:r w:rsidRPr="00D16EEE">
        <w:rPr>
          <w:rFonts w:ascii="Times New Roman" w:hAnsi="Times New Roman" w:cs="Times New Roman"/>
          <w:sz w:val="28"/>
          <w:szCs w:val="28"/>
        </w:rPr>
        <w:lastRenderedPageBreak/>
        <w:t>3.  Children should not develop any kind of reliance on the trust for their financial sustenance</w:t>
      </w:r>
    </w:p>
    <w:p w14:paraId="4F095891" w14:textId="77777777" w:rsidR="00D16EEE" w:rsidRPr="00D16EEE" w:rsidRDefault="00D16EEE" w:rsidP="00D16EEE">
      <w:pPr>
        <w:ind w:left="1080" w:hanging="360"/>
        <w:rPr>
          <w:rFonts w:ascii="Times New Roman" w:hAnsi="Times New Roman" w:cs="Times New Roman"/>
          <w:sz w:val="28"/>
          <w:szCs w:val="28"/>
        </w:rPr>
      </w:pPr>
      <w:r w:rsidRPr="00D16EEE">
        <w:rPr>
          <w:rFonts w:ascii="Times New Roman" w:hAnsi="Times New Roman" w:cs="Times New Roman"/>
          <w:sz w:val="28"/>
          <w:szCs w:val="28"/>
        </w:rPr>
        <w:tab/>
        <w:t xml:space="preserve">a.  see </w:t>
      </w:r>
      <w:proofErr w:type="spellStart"/>
      <w:r w:rsidRPr="00D16EEE">
        <w:rPr>
          <w:rFonts w:ascii="Times New Roman" w:hAnsi="Times New Roman" w:cs="Times New Roman"/>
          <w:sz w:val="28"/>
          <w:szCs w:val="28"/>
          <w:u w:val="single"/>
        </w:rPr>
        <w:t>Comins</w:t>
      </w:r>
      <w:proofErr w:type="spellEnd"/>
      <w:r w:rsidRPr="00D16EEE">
        <w:rPr>
          <w:rFonts w:ascii="Times New Roman" w:hAnsi="Times New Roman" w:cs="Times New Roman"/>
          <w:sz w:val="28"/>
          <w:szCs w:val="28"/>
          <w:u w:val="single"/>
        </w:rPr>
        <w:t xml:space="preserve"> v. </w:t>
      </w:r>
      <w:proofErr w:type="spellStart"/>
      <w:r w:rsidRPr="00D16EEE">
        <w:rPr>
          <w:rFonts w:ascii="Times New Roman" w:hAnsi="Times New Roman" w:cs="Times New Roman"/>
          <w:sz w:val="28"/>
          <w:szCs w:val="28"/>
          <w:u w:val="single"/>
        </w:rPr>
        <w:t>Comins</w:t>
      </w:r>
      <w:proofErr w:type="spellEnd"/>
      <w:r w:rsidRPr="00D16EEE">
        <w:rPr>
          <w:rFonts w:ascii="Times New Roman" w:hAnsi="Times New Roman" w:cs="Times New Roman"/>
          <w:sz w:val="28"/>
          <w:szCs w:val="28"/>
        </w:rPr>
        <w:t>, 33 Mass. App. Ct. 28 (1992)</w:t>
      </w:r>
    </w:p>
    <w:p w14:paraId="3497962E" w14:textId="77777777" w:rsidR="00D16EEE" w:rsidRPr="00D16EEE" w:rsidRDefault="00D16EEE" w:rsidP="00D16EEE">
      <w:pPr>
        <w:ind w:left="1440" w:hanging="360"/>
        <w:rPr>
          <w:rFonts w:ascii="Times New Roman" w:hAnsi="Times New Roman" w:cs="Times New Roman"/>
          <w:sz w:val="28"/>
          <w:szCs w:val="28"/>
        </w:rPr>
      </w:pPr>
      <w:r w:rsidRPr="00D16EEE">
        <w:rPr>
          <w:rFonts w:ascii="Times New Roman" w:hAnsi="Times New Roman" w:cs="Times New Roman"/>
          <w:sz w:val="28"/>
          <w:szCs w:val="28"/>
        </w:rPr>
        <w:t>b.  this case had a 48 year marriage where the assets were largely the wife’s inherited property; the court split the property 56% for the wife and 44% for the husband; the husband was granted such a large portion because of their “implicit reliance” on the trust; the wife’s assets “provided the parties with a substantial insurance policy against economic hardship and also permitted them to direct their other marital assets, such as the husband’s salary, to the maintenance of a higher standard of living than their earned income allowed.”</w:t>
      </w:r>
    </w:p>
    <w:p w14:paraId="366944F1" w14:textId="105FD8A5" w:rsidR="00D16EEE" w:rsidRPr="00D16EEE" w:rsidRDefault="00D16EEE" w:rsidP="00D16EEE">
      <w:pPr>
        <w:rPr>
          <w:rFonts w:ascii="Times New Roman" w:hAnsi="Times New Roman" w:cs="Times New Roman"/>
          <w:sz w:val="28"/>
          <w:szCs w:val="28"/>
        </w:rPr>
      </w:pPr>
      <w:r w:rsidRPr="00D16EEE">
        <w:rPr>
          <w:rFonts w:ascii="Times New Roman" w:hAnsi="Times New Roman" w:cs="Times New Roman"/>
          <w:sz w:val="28"/>
          <w:szCs w:val="28"/>
        </w:rPr>
        <w:tab/>
        <w:t xml:space="preserve">4.  </w:t>
      </w:r>
      <w:r>
        <w:rPr>
          <w:rFonts w:ascii="Times New Roman" w:hAnsi="Times New Roman" w:cs="Times New Roman"/>
          <w:sz w:val="28"/>
          <w:szCs w:val="28"/>
        </w:rPr>
        <w:t>Life Insurance Trusts (</w:t>
      </w:r>
      <w:r w:rsidRPr="00D16EEE">
        <w:rPr>
          <w:rFonts w:ascii="Times New Roman" w:hAnsi="Times New Roman" w:cs="Times New Roman"/>
          <w:sz w:val="28"/>
          <w:szCs w:val="28"/>
        </w:rPr>
        <w:t>ILITs</w:t>
      </w:r>
      <w:r>
        <w:rPr>
          <w:rFonts w:ascii="Times New Roman" w:hAnsi="Times New Roman" w:cs="Times New Roman"/>
          <w:sz w:val="28"/>
          <w:szCs w:val="28"/>
        </w:rPr>
        <w:t>)</w:t>
      </w:r>
    </w:p>
    <w:p w14:paraId="7F86B068" w14:textId="77777777" w:rsidR="00D16EEE" w:rsidRPr="00D16EEE" w:rsidRDefault="00D16EEE" w:rsidP="00D16EEE">
      <w:pPr>
        <w:ind w:left="1440" w:hanging="360"/>
        <w:rPr>
          <w:rFonts w:ascii="Times New Roman" w:hAnsi="Times New Roman" w:cs="Times New Roman"/>
          <w:sz w:val="28"/>
          <w:szCs w:val="28"/>
        </w:rPr>
      </w:pPr>
      <w:r w:rsidRPr="00D16EEE">
        <w:rPr>
          <w:rFonts w:ascii="Times New Roman" w:hAnsi="Times New Roman" w:cs="Times New Roman"/>
          <w:sz w:val="28"/>
          <w:szCs w:val="28"/>
        </w:rPr>
        <w:t>a.  While the revocation on divorce statute might apply to remove a beneficiary designation of an ex-spouse, the statute will not apply to unwind the designation of an ILIT that may have named the former spouse as a beneficiary</w:t>
      </w:r>
    </w:p>
    <w:p w14:paraId="6D2A8455" w14:textId="77777777" w:rsidR="00D16EEE" w:rsidRPr="00D16EEE" w:rsidRDefault="00D16EEE" w:rsidP="00D16EEE">
      <w:pPr>
        <w:ind w:left="1440" w:hanging="360"/>
        <w:rPr>
          <w:rFonts w:ascii="Times New Roman" w:hAnsi="Times New Roman" w:cs="Times New Roman"/>
          <w:sz w:val="28"/>
          <w:szCs w:val="28"/>
        </w:rPr>
      </w:pPr>
      <w:r w:rsidRPr="00D16EEE">
        <w:rPr>
          <w:rFonts w:ascii="Times New Roman" w:hAnsi="Times New Roman" w:cs="Times New Roman"/>
          <w:sz w:val="28"/>
          <w:szCs w:val="28"/>
        </w:rPr>
        <w:t>b.</w:t>
      </w:r>
      <w:r w:rsidRPr="00D16EEE">
        <w:rPr>
          <w:rFonts w:ascii="Times New Roman" w:hAnsi="Times New Roman" w:cs="Times New Roman"/>
          <w:sz w:val="28"/>
          <w:szCs w:val="28"/>
        </w:rPr>
        <w:tab/>
      </w:r>
      <w:proofErr w:type="gramStart"/>
      <w:r w:rsidRPr="00D16EEE">
        <w:rPr>
          <w:rFonts w:ascii="Times New Roman" w:hAnsi="Times New Roman" w:cs="Times New Roman"/>
          <w:sz w:val="28"/>
          <w:szCs w:val="28"/>
        </w:rPr>
        <w:t>build</w:t>
      </w:r>
      <w:proofErr w:type="gramEnd"/>
      <w:r w:rsidRPr="00D16EEE">
        <w:rPr>
          <w:rFonts w:ascii="Times New Roman" w:hAnsi="Times New Roman" w:cs="Times New Roman"/>
          <w:sz w:val="28"/>
          <w:szCs w:val="28"/>
        </w:rPr>
        <w:t xml:space="preserve"> in enough flexibility in the trust so that the term “spouse” is defined to include person X only if they are married to the child beneficiary</w:t>
      </w:r>
    </w:p>
    <w:p w14:paraId="1323A924" w14:textId="77777777" w:rsidR="00D16EEE" w:rsidRPr="00C90E87" w:rsidRDefault="00D16EEE" w:rsidP="00D16EEE">
      <w:pPr>
        <w:rPr>
          <w:rFonts w:ascii="Times New Roman" w:hAnsi="Times New Roman" w:cs="Times New Roman"/>
          <w:sz w:val="24"/>
          <w:szCs w:val="24"/>
        </w:rPr>
      </w:pPr>
    </w:p>
    <w:p w14:paraId="5A1C9215" w14:textId="77777777" w:rsidR="00D16EEE" w:rsidRDefault="00D16EEE" w:rsidP="00D16EEE">
      <w:pPr>
        <w:rPr>
          <w:rFonts w:ascii="Times New Roman" w:hAnsi="Times New Roman" w:cs="Times New Roman"/>
          <w:sz w:val="24"/>
          <w:szCs w:val="24"/>
        </w:rPr>
      </w:pPr>
    </w:p>
    <w:p w14:paraId="46EDE3CD" w14:textId="77777777" w:rsidR="009F23CB" w:rsidRPr="00D57920" w:rsidRDefault="009F23CB" w:rsidP="000F69ED">
      <w:pPr>
        <w:rPr>
          <w:rFonts w:ascii="Times New Roman" w:hAnsi="Times New Roman" w:cs="Times New Roman"/>
          <w:b/>
          <w:sz w:val="28"/>
          <w:szCs w:val="28"/>
          <w:u w:val="single"/>
        </w:rPr>
      </w:pPr>
    </w:p>
    <w:sectPr w:rsidR="009F23CB" w:rsidRPr="00D579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0E02E9"/>
    <w:multiLevelType w:val="hybridMultilevel"/>
    <w:tmpl w:val="D1449C72"/>
    <w:lvl w:ilvl="0" w:tplc="DC0A2BC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7535934"/>
    <w:multiLevelType w:val="hybridMultilevel"/>
    <w:tmpl w:val="05A4AF1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51766B3C">
      <w:start w:val="1"/>
      <w:numFmt w:val="upperLetter"/>
      <w:lvlText w:val="%4."/>
      <w:lvlJc w:val="left"/>
      <w:pPr>
        <w:ind w:left="2880" w:hanging="360"/>
      </w:pPr>
      <w:rPr>
        <w:rFonts w:hint="default"/>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23CB"/>
    <w:rsid w:val="00001DAD"/>
    <w:rsid w:val="000F69ED"/>
    <w:rsid w:val="00110517"/>
    <w:rsid w:val="00114E70"/>
    <w:rsid w:val="00125BA5"/>
    <w:rsid w:val="003D1E0C"/>
    <w:rsid w:val="003D7056"/>
    <w:rsid w:val="00411B9A"/>
    <w:rsid w:val="004161B4"/>
    <w:rsid w:val="00430986"/>
    <w:rsid w:val="004E28CF"/>
    <w:rsid w:val="004F23FB"/>
    <w:rsid w:val="00521E34"/>
    <w:rsid w:val="00687887"/>
    <w:rsid w:val="00703575"/>
    <w:rsid w:val="007436B2"/>
    <w:rsid w:val="007828FD"/>
    <w:rsid w:val="00790C9B"/>
    <w:rsid w:val="007A392A"/>
    <w:rsid w:val="007E163E"/>
    <w:rsid w:val="00835E0A"/>
    <w:rsid w:val="00857486"/>
    <w:rsid w:val="008B2C75"/>
    <w:rsid w:val="0090624A"/>
    <w:rsid w:val="00912847"/>
    <w:rsid w:val="009178F3"/>
    <w:rsid w:val="00934B7C"/>
    <w:rsid w:val="009F23CB"/>
    <w:rsid w:val="00A95807"/>
    <w:rsid w:val="00AB2444"/>
    <w:rsid w:val="00BF5100"/>
    <w:rsid w:val="00C1242C"/>
    <w:rsid w:val="00C90E87"/>
    <w:rsid w:val="00CB2704"/>
    <w:rsid w:val="00D16EEE"/>
    <w:rsid w:val="00D55D22"/>
    <w:rsid w:val="00D57920"/>
    <w:rsid w:val="00DE061A"/>
    <w:rsid w:val="00DE0DEF"/>
    <w:rsid w:val="00DE7752"/>
    <w:rsid w:val="00DF20C4"/>
    <w:rsid w:val="00DF2337"/>
    <w:rsid w:val="00E34969"/>
    <w:rsid w:val="00E36C54"/>
    <w:rsid w:val="00E40D7B"/>
    <w:rsid w:val="00F221C2"/>
    <w:rsid w:val="00F56B5B"/>
    <w:rsid w:val="00F77F76"/>
    <w:rsid w:val="00F870C0"/>
    <w:rsid w:val="00FA1D18"/>
    <w:rsid w:val="00FD022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6F302F"/>
  <w15:docId w15:val="{B0558C3F-FCD0-4894-9DD5-203AC6F10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35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2526</Words>
  <Characters>12610</Characters>
  <Application>Microsoft Office Word</Application>
  <DocSecurity>0</DocSecurity>
  <Lines>233</Lines>
  <Paragraphs>55</Paragraphs>
  <ScaleCrop>false</ScaleCrop>
  <HeadingPairs>
    <vt:vector size="2" baseType="variant">
      <vt:variant>
        <vt:lpstr>Title</vt:lpstr>
      </vt:variant>
      <vt:variant>
        <vt:i4>1</vt:i4>
      </vt:variant>
    </vt:vector>
  </HeadingPairs>
  <TitlesOfParts>
    <vt:vector size="1" baseType="lpstr">
      <vt:lpstr/>
    </vt:vector>
  </TitlesOfParts>
  <Company>Morgan, Lewis &amp; Bockius LLP</Company>
  <LinksUpToDate>false</LinksUpToDate>
  <CharactersWithSpaces>15081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mp074835</dc:creator>
  <cp:lastModifiedBy>Amiel Weinstock</cp:lastModifiedBy>
  <cp:revision>2</cp:revision>
  <dcterms:created xsi:type="dcterms:W3CDTF">2021-10-13T13:43:00Z</dcterms:created>
  <dcterms:modified xsi:type="dcterms:W3CDTF">2021-10-13T13:43:00Z</dcterms:modified>
</cp:coreProperties>
</file>